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3F" w:rsidRPr="00A456FD" w:rsidRDefault="002A1298" w:rsidP="002A1298">
      <w:pPr>
        <w:shd w:val="clear" w:color="auto" w:fill="FFFFFF"/>
        <w:jc w:val="center"/>
        <w:rPr>
          <w:b/>
          <w:sz w:val="28"/>
          <w:szCs w:val="28"/>
          <w:lang w:val="sr-Cyrl-CS"/>
        </w:rPr>
      </w:pPr>
      <w:r w:rsidRPr="00A456FD">
        <w:rPr>
          <w:b/>
          <w:sz w:val="28"/>
          <w:szCs w:val="28"/>
        </w:rPr>
        <w:t>ИЗЈАВ</w:t>
      </w:r>
      <w:r w:rsidR="00E04F3F" w:rsidRPr="00A456FD">
        <w:rPr>
          <w:b/>
          <w:sz w:val="28"/>
          <w:szCs w:val="28"/>
          <w:lang w:val="sr-Cyrl-CS"/>
        </w:rPr>
        <w:t>А</w:t>
      </w:r>
      <w:r w:rsidRPr="00A456FD">
        <w:rPr>
          <w:b/>
          <w:sz w:val="28"/>
          <w:szCs w:val="28"/>
        </w:rPr>
        <w:t xml:space="preserve"> О УСКЛАЂЕНОСТИ</w:t>
      </w:r>
      <w:r w:rsidR="00A456FD" w:rsidRPr="00A456FD">
        <w:rPr>
          <w:sz w:val="28"/>
          <w:szCs w:val="28"/>
          <w:lang w:val="sr-Cyrl-RS"/>
        </w:rPr>
        <w:t xml:space="preserve"> </w:t>
      </w:r>
      <w:r w:rsidR="00A456FD" w:rsidRPr="00A456FD">
        <w:rPr>
          <w:b/>
          <w:sz w:val="28"/>
          <w:szCs w:val="28"/>
          <w:lang w:val="sr-Cyrl-RS"/>
        </w:rPr>
        <w:t>ПРЕДЛОГ</w:t>
      </w:r>
      <w:r w:rsidR="00A456FD">
        <w:rPr>
          <w:b/>
          <w:sz w:val="28"/>
          <w:szCs w:val="28"/>
          <w:lang w:val="sr-Cyrl-RS"/>
        </w:rPr>
        <w:t>А</w:t>
      </w:r>
      <w:r w:rsidR="00A456FD" w:rsidRPr="00A456FD">
        <w:rPr>
          <w:b/>
          <w:sz w:val="28"/>
          <w:szCs w:val="28"/>
          <w:lang w:val="sr-Cyrl-RS"/>
        </w:rPr>
        <w:t xml:space="preserve"> З</w:t>
      </w:r>
      <w:r w:rsidR="00A456FD" w:rsidRPr="00A456FD">
        <w:rPr>
          <w:b/>
          <w:sz w:val="28"/>
          <w:szCs w:val="28"/>
        </w:rPr>
        <w:t>АКОН</w:t>
      </w:r>
      <w:r w:rsidR="00A456FD" w:rsidRPr="00A456FD">
        <w:rPr>
          <w:b/>
          <w:sz w:val="28"/>
          <w:szCs w:val="28"/>
          <w:lang w:val="sr-Cyrl-RS"/>
        </w:rPr>
        <w:t>А</w:t>
      </w:r>
      <w:r w:rsidR="00A456FD" w:rsidRPr="00A456FD">
        <w:rPr>
          <w:b/>
          <w:sz w:val="28"/>
          <w:szCs w:val="28"/>
          <w:lang w:val="sr-Cyrl-CS"/>
        </w:rPr>
        <w:t xml:space="preserve"> О ГРАЂЕВИНСКИМ ПРОИЗВОДИМА</w:t>
      </w:r>
      <w:r w:rsidRPr="00A456FD">
        <w:rPr>
          <w:b/>
          <w:sz w:val="28"/>
          <w:szCs w:val="28"/>
        </w:rPr>
        <w:t xml:space="preserve"> С</w:t>
      </w:r>
      <w:r w:rsidRPr="00A456FD">
        <w:rPr>
          <w:b/>
          <w:sz w:val="28"/>
          <w:szCs w:val="28"/>
          <w:lang w:val="sr-Cyrl-CS"/>
        </w:rPr>
        <w:t>А</w:t>
      </w:r>
      <w:r w:rsidRPr="00A456FD">
        <w:rPr>
          <w:b/>
          <w:sz w:val="28"/>
          <w:szCs w:val="28"/>
        </w:rPr>
        <w:t xml:space="preserve"> </w:t>
      </w:r>
    </w:p>
    <w:p w:rsidR="002A1298" w:rsidRPr="002709FB" w:rsidRDefault="002A1298" w:rsidP="002A1298">
      <w:pPr>
        <w:shd w:val="clear" w:color="auto" w:fill="FFFFFF"/>
        <w:jc w:val="center"/>
        <w:rPr>
          <w:b/>
          <w:sz w:val="28"/>
          <w:lang w:val="sr-Cyrl-CS"/>
        </w:rPr>
      </w:pPr>
      <w:r w:rsidRPr="00A456FD">
        <w:rPr>
          <w:b/>
          <w:sz w:val="28"/>
          <w:szCs w:val="28"/>
          <w:lang w:val="sr-Cyrl-CS"/>
        </w:rPr>
        <w:t>ПРОПИСИМА ЕВРОПСКЕ УНИЈЕ</w:t>
      </w:r>
    </w:p>
    <w:p w:rsidR="003D192B" w:rsidRPr="002709FB" w:rsidRDefault="003D192B" w:rsidP="00955514">
      <w:pPr>
        <w:shd w:val="clear" w:color="auto" w:fill="FFFFFF"/>
        <w:rPr>
          <w:lang w:val="sr-Cyrl-CS"/>
        </w:rPr>
      </w:pPr>
    </w:p>
    <w:p w:rsidR="003D192B" w:rsidRPr="002709FB" w:rsidRDefault="003D192B">
      <w:pPr>
        <w:pStyle w:val="FootnoteText"/>
        <w:spacing w:line="240" w:lineRule="auto"/>
        <w:rPr>
          <w:lang w:val="sr-Cyrl-CS"/>
        </w:rPr>
      </w:pPr>
    </w:p>
    <w:p w:rsidR="00BF1425" w:rsidRPr="002709FB" w:rsidRDefault="00331FAE">
      <w:pPr>
        <w:jc w:val="both"/>
        <w:rPr>
          <w:lang w:val="sr-Cyrl-CS"/>
        </w:rPr>
      </w:pPr>
      <w:r w:rsidRPr="002709FB">
        <w:t xml:space="preserve">1. </w:t>
      </w:r>
      <w:r w:rsidR="007D007B">
        <w:rPr>
          <w:lang w:val="sr-Cyrl-CS"/>
        </w:rPr>
        <w:t>О</w:t>
      </w:r>
      <w:r w:rsidR="00BF1425" w:rsidRPr="002709FB">
        <w:rPr>
          <w:lang w:val="sr-Cyrl-CS"/>
        </w:rPr>
        <w:t>влашћени предлагач прописа</w:t>
      </w:r>
      <w:r w:rsidR="007D007B">
        <w:rPr>
          <w:lang w:val="sr-Cyrl-RS"/>
        </w:rPr>
        <w:t>:</w:t>
      </w:r>
      <w:r w:rsidR="0025035F" w:rsidRPr="002709FB">
        <w:rPr>
          <w:lang w:val="sr-Cyrl-CS"/>
        </w:rPr>
        <w:t xml:space="preserve"> </w:t>
      </w:r>
      <w:r w:rsidR="00E04F3F" w:rsidRPr="002709FB">
        <w:rPr>
          <w:lang w:val="sr-Cyrl-CS"/>
        </w:rPr>
        <w:t xml:space="preserve"> Влада</w:t>
      </w:r>
    </w:p>
    <w:p w:rsidR="00E04F3F" w:rsidRPr="002709FB" w:rsidRDefault="00C77C5B">
      <w:pPr>
        <w:jc w:val="both"/>
        <w:rPr>
          <w:lang w:val="sr-Cyrl-CS"/>
        </w:rPr>
      </w:pPr>
      <w:r>
        <w:rPr>
          <w:lang w:val="sr-Cyrl-CS"/>
        </w:rPr>
        <w:t xml:space="preserve">    </w:t>
      </w:r>
      <w:r w:rsidR="00E04F3F" w:rsidRPr="002709FB">
        <w:rPr>
          <w:lang w:val="sr-Cyrl-CS"/>
        </w:rPr>
        <w:t>Обрађивач: Министарство грађевинарства, саобраћаја и инфраструктуре</w:t>
      </w:r>
    </w:p>
    <w:p w:rsidR="00E04F3F" w:rsidRPr="002709FB" w:rsidRDefault="00E04F3F">
      <w:pPr>
        <w:jc w:val="both"/>
        <w:rPr>
          <w:lang w:val="sr-Cyrl-CS"/>
        </w:rPr>
      </w:pPr>
    </w:p>
    <w:p w:rsidR="00E04F3F" w:rsidRPr="002709FB" w:rsidRDefault="00BF1425">
      <w:pPr>
        <w:jc w:val="both"/>
        <w:rPr>
          <w:lang w:val="sr-Cyrl-CS"/>
        </w:rPr>
      </w:pPr>
      <w:r w:rsidRPr="002709FB">
        <w:t xml:space="preserve">2. Назив </w:t>
      </w:r>
      <w:r w:rsidRPr="002709FB">
        <w:rPr>
          <w:lang w:val="sr-Cyrl-CS"/>
        </w:rPr>
        <w:t>прописа</w:t>
      </w:r>
      <w:r w:rsidR="009E32D2">
        <w:rPr>
          <w:lang w:val="sr-Cyrl-CS"/>
        </w:rPr>
        <w:t>:</w:t>
      </w:r>
      <w:r w:rsidR="008D7DB4">
        <w:rPr>
          <w:lang w:val="en-US"/>
        </w:rPr>
        <w:t xml:space="preserve">  </w:t>
      </w:r>
      <w:r w:rsidR="003B403D">
        <w:rPr>
          <w:lang w:val="sr-Cyrl-RS"/>
        </w:rPr>
        <w:t>Предлог з</w:t>
      </w:r>
      <w:r w:rsidR="004B6F88">
        <w:t>акон</w:t>
      </w:r>
      <w:r w:rsidR="003B403D">
        <w:rPr>
          <w:lang w:val="sr-Cyrl-RS"/>
        </w:rPr>
        <w:t>а</w:t>
      </w:r>
      <w:r w:rsidR="00450B48" w:rsidRPr="002709FB">
        <w:rPr>
          <w:lang w:val="sr-Cyrl-CS"/>
        </w:rPr>
        <w:t xml:space="preserve"> о грађевинским производима</w:t>
      </w:r>
    </w:p>
    <w:p w:rsidR="00C77C5B" w:rsidRDefault="009E32D2" w:rsidP="00C77C5B">
      <w:pPr>
        <w:tabs>
          <w:tab w:val="center" w:pos="4536"/>
        </w:tabs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8D7DB4">
        <w:rPr>
          <w:lang w:val="en-US"/>
        </w:rPr>
        <w:t xml:space="preserve">                             </w:t>
      </w:r>
      <w:r w:rsidR="00C77C5B">
        <w:rPr>
          <w:lang w:val="en"/>
        </w:rPr>
        <w:t>The draft law on construction products</w:t>
      </w:r>
    </w:p>
    <w:p w:rsidR="00450B48" w:rsidRPr="002709FB" w:rsidRDefault="00C77C5B" w:rsidP="00C77C5B">
      <w:pPr>
        <w:tabs>
          <w:tab w:val="center" w:pos="4536"/>
        </w:tabs>
        <w:jc w:val="both"/>
        <w:rPr>
          <w:lang w:val="sr-Cyrl-CS"/>
        </w:rPr>
      </w:pPr>
      <w:r>
        <w:rPr>
          <w:lang w:val="en"/>
        </w:rPr>
        <w:tab/>
      </w:r>
    </w:p>
    <w:p w:rsidR="001E4632" w:rsidRPr="002709FB" w:rsidRDefault="001E4632">
      <w:pPr>
        <w:jc w:val="both"/>
        <w:rPr>
          <w:lang w:val="sr-Cyrl-CS"/>
        </w:rPr>
      </w:pPr>
      <w:r w:rsidRPr="002709FB">
        <w:rPr>
          <w:lang w:val="sr-Cyrl-CS"/>
        </w:rPr>
        <w:t xml:space="preserve">3. </w:t>
      </w:r>
      <w:r w:rsidR="008A4A9F" w:rsidRPr="008A4A9F">
        <w:rPr>
          <w:lang w:val="sr-Cyrl-CS"/>
        </w:rPr>
        <w:t>Усклађеност прописа с одредбама Споразума о стабилизацији и придруживању између Европских заједница и њихових држава чланица, са једне стране, и Републике Србије са друге стране („Службени гласник РС”, број 83/08) (у даљем тексту: Споразум):</w:t>
      </w:r>
    </w:p>
    <w:p w:rsidR="003E46FD" w:rsidRPr="002709FB" w:rsidRDefault="003E46FD">
      <w:pPr>
        <w:jc w:val="both"/>
        <w:rPr>
          <w:lang w:val="sr-Cyrl-CS"/>
        </w:rPr>
      </w:pPr>
    </w:p>
    <w:p w:rsidR="001E4632" w:rsidRDefault="00BF1425">
      <w:pPr>
        <w:jc w:val="both"/>
        <w:rPr>
          <w:lang w:val="sr-Latn-CS"/>
        </w:rPr>
      </w:pPr>
      <w:r w:rsidRPr="002709FB">
        <w:rPr>
          <w:lang w:val="sr-Cyrl-CS"/>
        </w:rPr>
        <w:t xml:space="preserve">а) </w:t>
      </w:r>
      <w:r w:rsidR="008A4A9F" w:rsidRPr="008A4A9F">
        <w:rPr>
          <w:lang w:val="sr-Cyrl-CS"/>
        </w:rPr>
        <w:t>Одредба Споразума која се односи на нормативну садржину прописа</w:t>
      </w:r>
      <w:r w:rsidR="008A4A9F">
        <w:rPr>
          <w:lang w:val="sr-Latn-CS"/>
        </w:rPr>
        <w:t>:</w:t>
      </w:r>
    </w:p>
    <w:p w:rsidR="008A4A9F" w:rsidRPr="008A4A9F" w:rsidRDefault="008A4A9F">
      <w:pPr>
        <w:jc w:val="both"/>
        <w:rPr>
          <w:lang w:val="sr-Latn-CS"/>
        </w:rPr>
      </w:pPr>
    </w:p>
    <w:p w:rsidR="00E04F3F" w:rsidRPr="002709FB" w:rsidRDefault="00EF455C" w:rsidP="008146A8">
      <w:pPr>
        <w:jc w:val="both"/>
        <w:rPr>
          <w:lang w:val="sr-Cyrl-CS"/>
        </w:rPr>
      </w:pPr>
      <w:r w:rsidRPr="002709FB">
        <w:rPr>
          <w:lang w:val="sr-Cyrl-CS"/>
        </w:rPr>
        <w:t>Одр</w:t>
      </w:r>
      <w:r w:rsidR="002307BB" w:rsidRPr="002709FB">
        <w:rPr>
          <w:lang w:val="sr-Cyrl-CS"/>
        </w:rPr>
        <w:t>е</w:t>
      </w:r>
      <w:r w:rsidR="00A96CB0">
        <w:rPr>
          <w:lang w:val="sr-Cyrl-CS"/>
        </w:rPr>
        <w:t>дбе чл</w:t>
      </w:r>
      <w:r w:rsidR="00A96CB0">
        <w:rPr>
          <w:lang w:val="sr-Cyrl-RS"/>
        </w:rPr>
        <w:t>ана</w:t>
      </w:r>
      <w:r w:rsidRPr="002709FB">
        <w:rPr>
          <w:lang w:val="sr-Cyrl-CS"/>
        </w:rPr>
        <w:t xml:space="preserve"> </w:t>
      </w:r>
      <w:r w:rsidR="00A844CF" w:rsidRPr="002709FB">
        <w:rPr>
          <w:lang w:val="sr-Cyrl-CS"/>
        </w:rPr>
        <w:t>77</w:t>
      </w:r>
      <w:r w:rsidRPr="002709FB">
        <w:rPr>
          <w:lang w:val="sr-Cyrl-CS"/>
        </w:rPr>
        <w:t xml:space="preserve">. </w:t>
      </w:r>
      <w:r w:rsidR="00A96CB0">
        <w:rPr>
          <w:lang w:val="sr-Cyrl-CS"/>
        </w:rPr>
        <w:t xml:space="preserve">став </w:t>
      </w:r>
      <w:r w:rsidR="00DF1FF4" w:rsidRPr="002709FB">
        <w:rPr>
          <w:lang w:val="sr-Cyrl-CS"/>
        </w:rPr>
        <w:t>1</w:t>
      </w:r>
      <w:r w:rsidR="00A96CB0">
        <w:rPr>
          <w:lang w:val="sr-Cyrl-CS"/>
        </w:rPr>
        <w:t>.</w:t>
      </w:r>
      <w:r w:rsidR="00DF1FF4" w:rsidRPr="002709FB">
        <w:rPr>
          <w:lang w:val="sr-Cyrl-CS"/>
        </w:rPr>
        <w:t xml:space="preserve"> </w:t>
      </w:r>
      <w:r w:rsidR="004639E1" w:rsidRPr="002709FB">
        <w:rPr>
          <w:lang w:val="sr-Cyrl-CS"/>
        </w:rPr>
        <w:t>Споразум</w:t>
      </w:r>
      <w:r w:rsidRPr="002709FB">
        <w:rPr>
          <w:lang w:val="sr-Cyrl-CS"/>
        </w:rPr>
        <w:t>а</w:t>
      </w:r>
      <w:r w:rsidR="004639E1" w:rsidRPr="002709FB">
        <w:rPr>
          <w:lang w:val="sr-Cyrl-CS"/>
        </w:rPr>
        <w:t xml:space="preserve"> о стабилизацији и придруживању између </w:t>
      </w:r>
      <w:r w:rsidRPr="002709FB">
        <w:rPr>
          <w:lang w:val="sr-Cyrl-CS"/>
        </w:rPr>
        <w:t>европских заједница и њихових држава чланица, са једне стране и Републике Србије, са друге стране</w:t>
      </w:r>
    </w:p>
    <w:p w:rsidR="00EF455C" w:rsidRPr="002709FB" w:rsidRDefault="00EF455C">
      <w:pPr>
        <w:jc w:val="both"/>
        <w:rPr>
          <w:lang w:val="sr-Cyrl-CS"/>
        </w:rPr>
      </w:pPr>
    </w:p>
    <w:p w:rsidR="001E4632" w:rsidRDefault="00BF1425">
      <w:pPr>
        <w:jc w:val="both"/>
        <w:rPr>
          <w:lang w:val="sr-Latn-CS"/>
        </w:rPr>
      </w:pPr>
      <w:r w:rsidRPr="002709FB">
        <w:rPr>
          <w:lang w:val="sr-Cyrl-CS"/>
        </w:rPr>
        <w:t xml:space="preserve">б) </w:t>
      </w:r>
      <w:r w:rsidR="008A4A9F" w:rsidRPr="008A4A9F">
        <w:rPr>
          <w:lang w:val="sr-Cyrl-CS"/>
        </w:rPr>
        <w:t>Прелазни рок за усклађивање законодавства према одредбама Споразума</w:t>
      </w:r>
      <w:r w:rsidR="008A4A9F">
        <w:rPr>
          <w:lang w:val="sr-Latn-CS"/>
        </w:rPr>
        <w:t>:</w:t>
      </w:r>
    </w:p>
    <w:p w:rsidR="008A4A9F" w:rsidRPr="008A4A9F" w:rsidRDefault="008A4A9F">
      <w:pPr>
        <w:jc w:val="both"/>
        <w:rPr>
          <w:lang w:val="sr-Latn-CS"/>
        </w:rPr>
      </w:pPr>
    </w:p>
    <w:p w:rsidR="00EF455C" w:rsidRPr="002709FB" w:rsidRDefault="00EF455C" w:rsidP="00883F32">
      <w:pPr>
        <w:jc w:val="center"/>
        <w:rPr>
          <w:lang w:val="sr-Cyrl-CS"/>
        </w:rPr>
      </w:pPr>
      <w:r w:rsidRPr="002709FB">
        <w:rPr>
          <w:lang w:val="sr-Cyrl-CS"/>
        </w:rPr>
        <w:t xml:space="preserve">Прелазни рок </w:t>
      </w:r>
      <w:r w:rsidR="00883F32" w:rsidRPr="002709FB">
        <w:rPr>
          <w:lang w:val="sr-Cyrl-CS"/>
        </w:rPr>
        <w:t>није установљен</w:t>
      </w:r>
    </w:p>
    <w:p w:rsidR="00EF455C" w:rsidRPr="002709FB" w:rsidRDefault="00EF455C">
      <w:pPr>
        <w:jc w:val="both"/>
        <w:rPr>
          <w:lang w:val="sr-Cyrl-CS"/>
        </w:rPr>
      </w:pPr>
    </w:p>
    <w:p w:rsidR="001E4632" w:rsidRDefault="00BF1425">
      <w:pPr>
        <w:jc w:val="both"/>
        <w:rPr>
          <w:lang w:val="sr-Latn-CS"/>
        </w:rPr>
      </w:pPr>
      <w:r w:rsidRPr="002709FB">
        <w:rPr>
          <w:lang w:val="sr-Cyrl-CS"/>
        </w:rPr>
        <w:t xml:space="preserve">в) </w:t>
      </w:r>
      <w:r w:rsidR="008A4A9F" w:rsidRPr="008A4A9F">
        <w:rPr>
          <w:lang w:val="sr-Cyrl-CS"/>
        </w:rPr>
        <w:t>Оцена испуњености обавезе које произлазе из наведене одредбе Споразума</w:t>
      </w:r>
      <w:r w:rsidR="008A4A9F">
        <w:rPr>
          <w:lang w:val="sr-Latn-CS"/>
        </w:rPr>
        <w:t>:</w:t>
      </w:r>
    </w:p>
    <w:p w:rsidR="008A4A9F" w:rsidRPr="008A4A9F" w:rsidRDefault="008A4A9F">
      <w:pPr>
        <w:jc w:val="both"/>
        <w:rPr>
          <w:lang w:val="sr-Latn-CS"/>
        </w:rPr>
      </w:pPr>
    </w:p>
    <w:p w:rsidR="006F503F" w:rsidRPr="002709FB" w:rsidRDefault="006F503F" w:rsidP="00883F32">
      <w:pPr>
        <w:jc w:val="center"/>
        <w:rPr>
          <w:lang w:val="sr-Cyrl-CS"/>
        </w:rPr>
      </w:pPr>
      <w:r w:rsidRPr="002709FB">
        <w:rPr>
          <w:lang w:val="sr-Cyrl-CS"/>
        </w:rPr>
        <w:t>Делимично испуњена</w:t>
      </w:r>
    </w:p>
    <w:p w:rsidR="006F503F" w:rsidRPr="002709FB" w:rsidRDefault="006F503F">
      <w:pPr>
        <w:jc w:val="both"/>
        <w:rPr>
          <w:lang w:val="sr-Cyrl-CS"/>
        </w:rPr>
      </w:pPr>
    </w:p>
    <w:p w:rsidR="001E4632" w:rsidRPr="008A4A9F" w:rsidRDefault="00007AE0">
      <w:pPr>
        <w:jc w:val="both"/>
        <w:rPr>
          <w:lang w:val="sr-Latn-CS"/>
        </w:rPr>
      </w:pPr>
      <w:r w:rsidRPr="002709FB">
        <w:rPr>
          <w:lang w:val="sr-Cyrl-CS"/>
        </w:rPr>
        <w:t xml:space="preserve">г) </w:t>
      </w:r>
      <w:r w:rsidR="008A4A9F" w:rsidRPr="0081718F">
        <w:rPr>
          <w:lang w:val="sr-Cyrl-CS"/>
        </w:rPr>
        <w:t>Разлози за делимично испуњавање, односно неиспуњавање обавеза које произлазе из наведене одредбе Споразума</w:t>
      </w:r>
      <w:r w:rsidR="008A4A9F">
        <w:rPr>
          <w:lang w:val="sr-Latn-CS"/>
        </w:rPr>
        <w:t>:</w:t>
      </w:r>
    </w:p>
    <w:p w:rsidR="00D3015E" w:rsidRPr="002709FB" w:rsidRDefault="00D3015E" w:rsidP="00EF455C">
      <w:pPr>
        <w:jc w:val="center"/>
        <w:rPr>
          <w:highlight w:val="yellow"/>
          <w:lang w:val="sr-Cyrl-CS"/>
        </w:rPr>
      </w:pPr>
    </w:p>
    <w:p w:rsidR="002A63D7" w:rsidRPr="002709FB" w:rsidRDefault="002A63D7" w:rsidP="008146A8">
      <w:pPr>
        <w:jc w:val="both"/>
        <w:rPr>
          <w:lang w:val="sr-Cyrl-CS"/>
        </w:rPr>
      </w:pPr>
      <w:r w:rsidRPr="002709FB">
        <w:rPr>
          <w:lang w:val="sr-Cyrl-CS"/>
        </w:rPr>
        <w:t xml:space="preserve">У овом тренутку постигнута је делимична испуњеност обавеза које произлазе из наведене одредбе Споразума и Прелазног споразума с обзиром на статус </w:t>
      </w:r>
      <w:r w:rsidR="00D44AE9">
        <w:rPr>
          <w:lang w:val="sr-Cyrl-CS"/>
        </w:rPr>
        <w:t xml:space="preserve">Републике Србије као </w:t>
      </w:r>
      <w:r w:rsidRPr="002709FB">
        <w:rPr>
          <w:lang w:val="sr-Cyrl-CS"/>
        </w:rPr>
        <w:t xml:space="preserve">нечланице. </w:t>
      </w:r>
    </w:p>
    <w:p w:rsidR="004C2332" w:rsidRPr="002709FB" w:rsidRDefault="004C2332" w:rsidP="00EF455C">
      <w:pPr>
        <w:jc w:val="center"/>
        <w:rPr>
          <w:lang w:val="sr-Cyrl-CS"/>
        </w:rPr>
      </w:pPr>
    </w:p>
    <w:p w:rsidR="001E4632" w:rsidRPr="008A4A9F" w:rsidRDefault="00007AE0">
      <w:pPr>
        <w:jc w:val="both"/>
        <w:rPr>
          <w:lang w:val="sr-Latn-CS"/>
        </w:rPr>
      </w:pPr>
      <w:r w:rsidRPr="002709FB">
        <w:rPr>
          <w:lang w:val="sr-Cyrl-CS"/>
        </w:rPr>
        <w:t xml:space="preserve">д) </w:t>
      </w:r>
      <w:r w:rsidR="008A4A9F" w:rsidRPr="0081718F">
        <w:rPr>
          <w:lang w:val="sr-Cyrl-CS"/>
        </w:rPr>
        <w:t>Веза са Националним програмом за усвајање правних тековина Европске уније</w:t>
      </w:r>
      <w:r w:rsidR="008A4A9F">
        <w:rPr>
          <w:lang w:val="sr-Latn-CS"/>
        </w:rPr>
        <w:t>:</w:t>
      </w:r>
    </w:p>
    <w:p w:rsidR="00D3015E" w:rsidRPr="002709FB" w:rsidRDefault="00D3015E" w:rsidP="00EF455C">
      <w:pPr>
        <w:jc w:val="center"/>
        <w:rPr>
          <w:lang w:val="sr-Cyrl-CS"/>
        </w:rPr>
      </w:pPr>
    </w:p>
    <w:p w:rsidR="00EF455C" w:rsidRPr="002709FB" w:rsidRDefault="002A63D7" w:rsidP="00EF455C">
      <w:pPr>
        <w:jc w:val="center"/>
        <w:rPr>
          <w:lang w:val="sr-Cyrl-CS"/>
        </w:rPr>
      </w:pPr>
      <w:r w:rsidRPr="002709FB">
        <w:t>3.1.3.13.</w:t>
      </w:r>
    </w:p>
    <w:p w:rsidR="003D192B" w:rsidRPr="002709FB" w:rsidRDefault="003D192B">
      <w:pPr>
        <w:jc w:val="both"/>
      </w:pPr>
    </w:p>
    <w:p w:rsidR="003D192B" w:rsidRPr="002709FB" w:rsidRDefault="003E46FD">
      <w:pPr>
        <w:jc w:val="both"/>
        <w:rPr>
          <w:lang w:val="sr-Cyrl-CS"/>
        </w:rPr>
      </w:pPr>
      <w:r w:rsidRPr="002709FB">
        <w:rPr>
          <w:lang w:val="sr-Cyrl-CS"/>
        </w:rPr>
        <w:t>4</w:t>
      </w:r>
      <w:r w:rsidR="005A74FA" w:rsidRPr="002709FB">
        <w:rPr>
          <w:lang w:val="sr-Cyrl-CS"/>
        </w:rPr>
        <w:t xml:space="preserve">. </w:t>
      </w:r>
      <w:r w:rsidR="00EA2C5E" w:rsidRPr="002709FB">
        <w:t>Усклађеност</w:t>
      </w:r>
      <w:r w:rsidR="00EA2C5E" w:rsidRPr="002709FB">
        <w:rPr>
          <w:lang w:val="sr-Cyrl-CS"/>
        </w:rPr>
        <w:t xml:space="preserve"> </w:t>
      </w:r>
      <w:r w:rsidR="00BF1425" w:rsidRPr="002709FB">
        <w:rPr>
          <w:lang w:val="sr-Cyrl-CS"/>
        </w:rPr>
        <w:t xml:space="preserve">прописа </w:t>
      </w:r>
      <w:r w:rsidR="00251813" w:rsidRPr="002709FB">
        <w:t>с</w:t>
      </w:r>
      <w:r w:rsidR="00A40007" w:rsidRPr="002709FB">
        <w:rPr>
          <w:lang w:val="sr-Cyrl-CS"/>
        </w:rPr>
        <w:t>а</w:t>
      </w:r>
      <w:r w:rsidR="00251813" w:rsidRPr="002709FB">
        <w:t xml:space="preserve"> </w:t>
      </w:r>
      <w:r w:rsidR="008E7CFC" w:rsidRPr="002709FB">
        <w:rPr>
          <w:lang w:val="sr-Cyrl-CS"/>
        </w:rPr>
        <w:t>прописима Европске уније</w:t>
      </w:r>
      <w:r w:rsidR="0081718F" w:rsidRPr="002709FB">
        <w:rPr>
          <w:lang w:val="sr-Cyrl-CS"/>
        </w:rPr>
        <w:t>:</w:t>
      </w:r>
    </w:p>
    <w:p w:rsidR="00EF455C" w:rsidRPr="002709FB" w:rsidRDefault="00450B48" w:rsidP="00450B48">
      <w:pPr>
        <w:spacing w:before="120"/>
        <w:jc w:val="center"/>
        <w:rPr>
          <w:lang w:val="sr-Cyrl-CS"/>
        </w:rPr>
      </w:pPr>
      <w:r w:rsidRPr="002709FB">
        <w:rPr>
          <w:lang w:val="sr-Cyrl-CS"/>
        </w:rPr>
        <w:t>Делимична усклађеност</w:t>
      </w:r>
    </w:p>
    <w:p w:rsidR="003D192B" w:rsidRPr="002709FB" w:rsidRDefault="003D192B">
      <w:pPr>
        <w:jc w:val="both"/>
      </w:pPr>
    </w:p>
    <w:p w:rsidR="00EF455C" w:rsidRDefault="00E83A77">
      <w:pPr>
        <w:jc w:val="both"/>
        <w:rPr>
          <w:lang w:val="sr-Cyrl-RS"/>
        </w:rPr>
      </w:pPr>
      <w:r w:rsidRPr="002709FB">
        <w:t xml:space="preserve">а) </w:t>
      </w:r>
      <w:r w:rsidR="008A4A9F" w:rsidRPr="0081718F">
        <w:rPr>
          <w:lang w:val="sr-Cyrl-CS"/>
        </w:rPr>
        <w:t>Навођење</w:t>
      </w:r>
      <w:r w:rsidR="008A4A9F" w:rsidRPr="0081718F">
        <w:rPr>
          <w:lang w:val="sr-Latn-CS"/>
        </w:rPr>
        <w:t xml:space="preserve"> </w:t>
      </w:r>
      <w:r w:rsidR="008A4A9F" w:rsidRPr="0081718F">
        <w:rPr>
          <w:lang w:val="sr-Cyrl-CS"/>
        </w:rPr>
        <w:t>одредби</w:t>
      </w:r>
      <w:r w:rsidR="008A4A9F" w:rsidRPr="0081718F">
        <w:t xml:space="preserve"> примарних извора права Е</w:t>
      </w:r>
      <w:r w:rsidR="008A4A9F">
        <w:rPr>
          <w:lang w:val="sr-Cyrl-RS"/>
        </w:rPr>
        <w:t>вропске уније</w:t>
      </w:r>
      <w:r w:rsidR="008A4A9F" w:rsidRPr="0081718F">
        <w:rPr>
          <w:lang w:val="sr-Cyrl-CS"/>
        </w:rPr>
        <w:t xml:space="preserve"> и оцене усклађености са њима</w:t>
      </w:r>
      <w:r w:rsidR="008A4A9F">
        <w:rPr>
          <w:lang w:val="sr-Cyrl-RS"/>
        </w:rPr>
        <w:t>:</w:t>
      </w:r>
    </w:p>
    <w:p w:rsidR="008A4A9F" w:rsidRPr="002709FB" w:rsidRDefault="008A4A9F">
      <w:pPr>
        <w:jc w:val="both"/>
        <w:rPr>
          <w:lang w:val="sr-Cyrl-CS"/>
        </w:rPr>
      </w:pPr>
    </w:p>
    <w:p w:rsidR="00C53A21" w:rsidRPr="002709FB" w:rsidRDefault="00AC73B6" w:rsidP="008A4A9F">
      <w:pPr>
        <w:jc w:val="center"/>
        <w:rPr>
          <w:lang w:val="sr-Cyrl-CS" w:eastAsia="en-GB"/>
        </w:rPr>
      </w:pPr>
      <w:r>
        <w:rPr>
          <w:lang w:val="sr-Cyrl-CS" w:eastAsia="en-GB"/>
        </w:rPr>
        <w:t>Чл.</w:t>
      </w:r>
      <w:r w:rsidR="00DF1FF4" w:rsidRPr="002709FB">
        <w:rPr>
          <w:lang w:eastAsia="en-GB"/>
        </w:rPr>
        <w:t xml:space="preserve"> 34, 35. </w:t>
      </w:r>
      <w:r w:rsidR="00DF1FF4" w:rsidRPr="002709FB">
        <w:rPr>
          <w:lang w:val="sr-Cyrl-CS" w:eastAsia="en-GB"/>
        </w:rPr>
        <w:t>и</w:t>
      </w:r>
      <w:r w:rsidR="00DF1FF4" w:rsidRPr="002709FB">
        <w:rPr>
          <w:lang w:eastAsia="en-GB"/>
        </w:rPr>
        <w:t xml:space="preserve"> 36. </w:t>
      </w:r>
      <w:r w:rsidR="00DF1FF4" w:rsidRPr="002709FB">
        <w:rPr>
          <w:lang w:val="sr-Cyrl-CS" w:eastAsia="en-GB"/>
        </w:rPr>
        <w:t>Уг</w:t>
      </w:r>
      <w:r w:rsidR="003B403D">
        <w:rPr>
          <w:lang w:val="sr-Cyrl-CS" w:eastAsia="en-GB"/>
        </w:rPr>
        <w:t>овора о функционисању Европске у</w:t>
      </w:r>
      <w:r w:rsidR="00DF1FF4" w:rsidRPr="002709FB">
        <w:rPr>
          <w:lang w:val="sr-Cyrl-CS" w:eastAsia="en-GB"/>
        </w:rPr>
        <w:t>није.</w:t>
      </w:r>
    </w:p>
    <w:p w:rsidR="008146A8" w:rsidRDefault="008146A8" w:rsidP="002D2EFE">
      <w:pPr>
        <w:spacing w:before="120"/>
        <w:jc w:val="center"/>
        <w:rPr>
          <w:lang w:val="sr-Cyrl-CS" w:eastAsia="en-GB"/>
        </w:rPr>
      </w:pPr>
      <w:r w:rsidRPr="002709FB">
        <w:rPr>
          <w:lang w:val="sr-Cyrl-CS" w:eastAsia="en-GB"/>
        </w:rPr>
        <w:t>Делимична усклађеност</w:t>
      </w:r>
    </w:p>
    <w:p w:rsidR="008A4A9F" w:rsidRPr="002709FB" w:rsidRDefault="008A4A9F" w:rsidP="002D2EFE">
      <w:pPr>
        <w:spacing w:before="120"/>
        <w:jc w:val="center"/>
        <w:rPr>
          <w:lang w:val="sr-Cyrl-CS"/>
        </w:rPr>
      </w:pPr>
    </w:p>
    <w:p w:rsidR="00C53A21" w:rsidRPr="002709FB" w:rsidRDefault="00C53A21">
      <w:pPr>
        <w:jc w:val="both"/>
        <w:rPr>
          <w:lang w:val="sr-Cyrl-CS"/>
        </w:rPr>
      </w:pPr>
    </w:p>
    <w:p w:rsidR="00450B48" w:rsidRPr="002709FB" w:rsidRDefault="00E83A77">
      <w:pPr>
        <w:jc w:val="both"/>
        <w:rPr>
          <w:lang w:val="sr-Cyrl-CS"/>
        </w:rPr>
      </w:pPr>
      <w:r w:rsidRPr="002709FB">
        <w:t xml:space="preserve">б) </w:t>
      </w:r>
      <w:r w:rsidR="008A4A9F" w:rsidRPr="0081718F">
        <w:rPr>
          <w:lang w:val="sr-Cyrl-CS"/>
        </w:rPr>
        <w:t>Навођење</w:t>
      </w:r>
      <w:r w:rsidR="008A4A9F" w:rsidRPr="0081718F">
        <w:t xml:space="preserve"> секундарних извора права Е</w:t>
      </w:r>
      <w:r w:rsidR="008A4A9F">
        <w:rPr>
          <w:lang w:val="sr-Cyrl-RS"/>
        </w:rPr>
        <w:t>вропске уније</w:t>
      </w:r>
      <w:r w:rsidR="008A4A9F" w:rsidRPr="0081718F">
        <w:t xml:space="preserve"> </w:t>
      </w:r>
      <w:r w:rsidR="008A4A9F" w:rsidRPr="0081718F">
        <w:rPr>
          <w:lang w:val="sr-Cyrl-CS"/>
        </w:rPr>
        <w:t>и оцене усклађености са њима</w:t>
      </w:r>
      <w:r w:rsidR="00450B48" w:rsidRPr="002709FB">
        <w:rPr>
          <w:lang w:val="sr-Cyrl-CS"/>
        </w:rPr>
        <w:t>:</w:t>
      </w:r>
    </w:p>
    <w:p w:rsidR="00450B48" w:rsidRPr="002709FB" w:rsidRDefault="00450B48">
      <w:pPr>
        <w:jc w:val="both"/>
        <w:rPr>
          <w:lang w:val="sr-Cyrl-CS"/>
        </w:rPr>
      </w:pPr>
    </w:p>
    <w:p w:rsidR="00450B48" w:rsidRPr="002709FB" w:rsidRDefault="00450B48" w:rsidP="008146A8">
      <w:pPr>
        <w:jc w:val="both"/>
        <w:rPr>
          <w:lang w:val="en-US"/>
        </w:rPr>
      </w:pPr>
      <w:r w:rsidRPr="002709FB">
        <w:rPr>
          <w:bCs/>
          <w:lang w:val="en-US"/>
        </w:rPr>
        <w:t>CPR (</w:t>
      </w:r>
      <w:r w:rsidRPr="002709FB">
        <w:rPr>
          <w:bCs/>
        </w:rPr>
        <w:t xml:space="preserve">REGULATION (EU) No 305/2011 </w:t>
      </w:r>
      <w:r w:rsidRPr="002709FB">
        <w:t>OF THE EUROPEAN PARLIAMENT AND OF THE COUNCIL of 9 March 2011 laying down harmonised conditions for the marketing of construction products and repealing Council Directive 89/106/EEC</w:t>
      </w:r>
      <w:r w:rsidRPr="002709FB">
        <w:rPr>
          <w:lang w:val="en-US"/>
        </w:rPr>
        <w:t>)</w:t>
      </w:r>
      <w:r w:rsidRPr="002709FB">
        <w:t xml:space="preserve"> </w:t>
      </w:r>
    </w:p>
    <w:p w:rsidR="00450B48" w:rsidRPr="002709FB" w:rsidRDefault="00450B48" w:rsidP="00450B48">
      <w:pPr>
        <w:spacing w:before="120"/>
        <w:jc w:val="center"/>
        <w:rPr>
          <w:lang w:val="sr-Cyrl-CS"/>
        </w:rPr>
      </w:pPr>
      <w:r w:rsidRPr="002709FB">
        <w:rPr>
          <w:lang w:val="sr-Cyrl-CS"/>
        </w:rPr>
        <w:t>Делимична усклађеност</w:t>
      </w:r>
    </w:p>
    <w:p w:rsidR="00450B48" w:rsidRPr="002709FB" w:rsidRDefault="00450B48" w:rsidP="00450B48">
      <w:pPr>
        <w:ind w:left="720"/>
        <w:jc w:val="both"/>
        <w:rPr>
          <w:lang w:val="en-US"/>
        </w:rPr>
      </w:pPr>
    </w:p>
    <w:p w:rsidR="00450B48" w:rsidRPr="002709FB" w:rsidRDefault="00450B48" w:rsidP="008146A8">
      <w:pPr>
        <w:jc w:val="both"/>
        <w:rPr>
          <w:lang w:val="en-US"/>
        </w:rPr>
      </w:pPr>
      <w:r w:rsidRPr="002709FB">
        <w:rPr>
          <w:bCs/>
        </w:rPr>
        <w:t xml:space="preserve">Commission Implementing Regulation (EU) No 1062/2013 </w:t>
      </w:r>
      <w:r w:rsidRPr="002709FB">
        <w:t>of 30 October 2013 on the format of the European Technical Assessment for construction products</w:t>
      </w:r>
    </w:p>
    <w:p w:rsidR="00450B48" w:rsidRPr="002709FB" w:rsidRDefault="00D44AE9" w:rsidP="00450B48">
      <w:pPr>
        <w:spacing w:before="120"/>
        <w:jc w:val="center"/>
        <w:rPr>
          <w:lang w:val="sr-Cyrl-CS"/>
        </w:rPr>
      </w:pPr>
      <w:r>
        <w:rPr>
          <w:lang w:val="sr-Cyrl-CS"/>
        </w:rPr>
        <w:t>Није усклађено</w:t>
      </w:r>
    </w:p>
    <w:p w:rsidR="00450B48" w:rsidRPr="002709FB" w:rsidRDefault="00450B48" w:rsidP="00450B48">
      <w:pPr>
        <w:jc w:val="both"/>
        <w:rPr>
          <w:lang w:val="en-US"/>
        </w:rPr>
      </w:pPr>
    </w:p>
    <w:p w:rsidR="00450B48" w:rsidRPr="002709FB" w:rsidRDefault="00450B48" w:rsidP="008146A8">
      <w:pPr>
        <w:jc w:val="both"/>
        <w:rPr>
          <w:lang w:val="en-US"/>
        </w:rPr>
      </w:pPr>
      <w:r w:rsidRPr="002709FB">
        <w:rPr>
          <w:bCs/>
        </w:rPr>
        <w:t xml:space="preserve">Commission Delegated Regulation (EU) No 157/2014 </w:t>
      </w:r>
      <w:r w:rsidRPr="002709FB">
        <w:t>of 30 October 2013 on the conditions for making a declaration of performance on construction products available on a website</w:t>
      </w:r>
    </w:p>
    <w:p w:rsidR="00450B48" w:rsidRPr="002709FB" w:rsidRDefault="002C533B" w:rsidP="00450B48">
      <w:pPr>
        <w:spacing w:before="120"/>
        <w:jc w:val="center"/>
        <w:rPr>
          <w:lang w:val="sr-Cyrl-CS"/>
        </w:rPr>
      </w:pPr>
      <w:r w:rsidRPr="002709FB">
        <w:rPr>
          <w:lang w:val="sr-Cyrl-CS"/>
        </w:rPr>
        <w:t>Потпуна</w:t>
      </w:r>
      <w:r w:rsidR="00450B48" w:rsidRPr="002709FB">
        <w:rPr>
          <w:lang w:val="sr-Cyrl-CS"/>
        </w:rPr>
        <w:t xml:space="preserve"> усклађеност</w:t>
      </w:r>
    </w:p>
    <w:p w:rsidR="00450B48" w:rsidRPr="002709FB" w:rsidRDefault="00450B48" w:rsidP="00450B48">
      <w:pPr>
        <w:ind w:left="720"/>
        <w:jc w:val="both"/>
        <w:rPr>
          <w:lang w:val="en-US"/>
        </w:rPr>
      </w:pPr>
    </w:p>
    <w:p w:rsidR="00450B48" w:rsidRPr="002709FB" w:rsidRDefault="00450B48" w:rsidP="008146A8">
      <w:pPr>
        <w:jc w:val="both"/>
        <w:rPr>
          <w:lang w:val="en-US"/>
        </w:rPr>
      </w:pPr>
      <w:r w:rsidRPr="002709FB">
        <w:rPr>
          <w:bCs/>
        </w:rPr>
        <w:t xml:space="preserve">Commission Delegated Regulation (EU) No 568/2014 </w:t>
      </w:r>
      <w:r w:rsidRPr="002709FB">
        <w:t>of 18 February 2014 amending Annex V to Regulation (EU) No 305/2011 of the European Parliament and of the Council as regards the assessment and verification of constancy of performance of construction products</w:t>
      </w:r>
    </w:p>
    <w:p w:rsidR="00450B48" w:rsidRPr="002709FB" w:rsidRDefault="002C533B" w:rsidP="00450B48">
      <w:pPr>
        <w:spacing w:before="120"/>
        <w:jc w:val="center"/>
        <w:rPr>
          <w:lang w:val="sr-Cyrl-CS"/>
        </w:rPr>
      </w:pPr>
      <w:r w:rsidRPr="002709FB">
        <w:rPr>
          <w:lang w:val="sr-Cyrl-CS"/>
        </w:rPr>
        <w:t>Потпуна</w:t>
      </w:r>
      <w:r w:rsidR="00450B48" w:rsidRPr="002709FB">
        <w:rPr>
          <w:lang w:val="sr-Cyrl-CS"/>
        </w:rPr>
        <w:t xml:space="preserve"> усклађеност</w:t>
      </w:r>
    </w:p>
    <w:p w:rsidR="00450B48" w:rsidRPr="002709FB" w:rsidRDefault="00450B48" w:rsidP="00450B48">
      <w:pPr>
        <w:ind w:left="720"/>
        <w:jc w:val="both"/>
        <w:rPr>
          <w:lang w:val="en-US"/>
        </w:rPr>
      </w:pPr>
    </w:p>
    <w:p w:rsidR="00D8253A" w:rsidRPr="002709FB" w:rsidRDefault="00450B48" w:rsidP="008146A8">
      <w:pPr>
        <w:jc w:val="both"/>
        <w:rPr>
          <w:lang w:val="en-US"/>
        </w:rPr>
      </w:pPr>
      <w:r w:rsidRPr="002709FB">
        <w:rPr>
          <w:bCs/>
        </w:rPr>
        <w:t xml:space="preserve">Commission Delegated Regulation (EU) No 574/2014 </w:t>
      </w:r>
      <w:r w:rsidRPr="002709FB">
        <w:t>of 21 February 2014 amending Annex III to Regulation (EU) No 305/2011 of the European Parliament and of the Council on the model to be used for drawing up a declaration of performance on construction products</w:t>
      </w:r>
    </w:p>
    <w:p w:rsidR="002C533B" w:rsidRPr="002709FB" w:rsidRDefault="00D44AE9" w:rsidP="002C533B">
      <w:pPr>
        <w:spacing w:before="120"/>
        <w:jc w:val="center"/>
        <w:rPr>
          <w:lang w:val="sr-Cyrl-CS"/>
        </w:rPr>
      </w:pPr>
      <w:r>
        <w:rPr>
          <w:lang w:val="sr-Cyrl-CS"/>
        </w:rPr>
        <w:t>Није усклађено</w:t>
      </w:r>
    </w:p>
    <w:p w:rsidR="00EF455C" w:rsidRPr="002709FB" w:rsidRDefault="00EF455C">
      <w:pPr>
        <w:jc w:val="both"/>
        <w:rPr>
          <w:lang w:val="sr-Cyrl-CS"/>
        </w:rPr>
      </w:pPr>
    </w:p>
    <w:p w:rsidR="008A4A9F" w:rsidRDefault="004949B0" w:rsidP="008A4A9F">
      <w:pPr>
        <w:jc w:val="both"/>
        <w:rPr>
          <w:lang w:val="sr-Latn-CS"/>
        </w:rPr>
      </w:pPr>
      <w:r w:rsidRPr="002709FB">
        <w:rPr>
          <w:lang w:val="sr-Cyrl-CS"/>
        </w:rPr>
        <w:t>в</w:t>
      </w:r>
      <w:r w:rsidR="00E83A77" w:rsidRPr="002709FB">
        <w:t xml:space="preserve">) </w:t>
      </w:r>
      <w:r w:rsidR="008A4A9F" w:rsidRPr="0081718F">
        <w:rPr>
          <w:lang w:val="sr-Cyrl-CS"/>
        </w:rPr>
        <w:t>Навођење осталих извора права Е</w:t>
      </w:r>
      <w:r w:rsidR="008A4A9F">
        <w:rPr>
          <w:lang w:val="sr-Cyrl-CS"/>
        </w:rPr>
        <w:t>вропске уније</w:t>
      </w:r>
      <w:r w:rsidR="008A4A9F" w:rsidRPr="0081718F">
        <w:rPr>
          <w:lang w:val="sr-Cyrl-CS"/>
        </w:rPr>
        <w:t xml:space="preserve"> и усклађен</w:t>
      </w:r>
      <w:r w:rsidR="008A4A9F">
        <w:rPr>
          <w:lang w:val="sr-Latn-RS"/>
        </w:rPr>
        <w:t>o</w:t>
      </w:r>
      <w:r w:rsidR="008A4A9F" w:rsidRPr="0081718F">
        <w:rPr>
          <w:lang w:val="sr-Cyrl-CS"/>
        </w:rPr>
        <w:t>ст са њима</w:t>
      </w:r>
      <w:r w:rsidR="008A4A9F" w:rsidRPr="002709FB">
        <w:rPr>
          <w:lang w:val="sr-Cyrl-CS"/>
        </w:rPr>
        <w:t xml:space="preserve"> </w:t>
      </w:r>
      <w:r w:rsidR="008A4A9F">
        <w:rPr>
          <w:lang w:val="sr-Latn-CS"/>
        </w:rPr>
        <w:t>:</w:t>
      </w:r>
    </w:p>
    <w:p w:rsidR="00EF455C" w:rsidRPr="002709FB" w:rsidRDefault="00EF455C" w:rsidP="008A4A9F">
      <w:pPr>
        <w:spacing w:before="120"/>
        <w:jc w:val="center"/>
        <w:rPr>
          <w:lang w:val="sr-Cyrl-CS"/>
        </w:rPr>
      </w:pPr>
      <w:r w:rsidRPr="002709FB">
        <w:rPr>
          <w:lang w:val="sr-Cyrl-CS"/>
        </w:rPr>
        <w:t>Нема</w:t>
      </w:r>
    </w:p>
    <w:p w:rsidR="00EF455C" w:rsidRPr="002709FB" w:rsidRDefault="00EF455C">
      <w:pPr>
        <w:jc w:val="both"/>
        <w:rPr>
          <w:lang w:val="sr-Cyrl-CS"/>
        </w:rPr>
      </w:pPr>
    </w:p>
    <w:p w:rsidR="00EF455C" w:rsidRPr="002709FB" w:rsidRDefault="004949B0">
      <w:pPr>
        <w:jc w:val="both"/>
        <w:rPr>
          <w:lang w:val="sr-Cyrl-CS"/>
        </w:rPr>
      </w:pPr>
      <w:r w:rsidRPr="002709FB">
        <w:rPr>
          <w:lang w:val="sr-Cyrl-CS"/>
        </w:rPr>
        <w:t>г</w:t>
      </w:r>
      <w:r w:rsidR="00007AE0" w:rsidRPr="002709FB">
        <w:t>)</w:t>
      </w:r>
      <w:r w:rsidR="008A4A9F" w:rsidRPr="008A4A9F">
        <w:rPr>
          <w:lang w:val="sr-Cyrl-CS"/>
        </w:rPr>
        <w:t xml:space="preserve"> </w:t>
      </w:r>
      <w:r w:rsidR="008A4A9F" w:rsidRPr="0081718F">
        <w:rPr>
          <w:lang w:val="sr-Cyrl-CS"/>
        </w:rPr>
        <w:t>Р</w:t>
      </w:r>
      <w:r w:rsidR="008A4A9F" w:rsidRPr="0081718F">
        <w:t>азлози за дел</w:t>
      </w:r>
      <w:r w:rsidR="008A4A9F" w:rsidRPr="0081718F">
        <w:rPr>
          <w:lang w:val="sr-Cyrl-CS"/>
        </w:rPr>
        <w:t>и</w:t>
      </w:r>
      <w:r w:rsidR="008A4A9F" w:rsidRPr="0081718F">
        <w:t>мичну усклађеност</w:t>
      </w:r>
      <w:r w:rsidR="008A4A9F" w:rsidRPr="0081718F">
        <w:rPr>
          <w:lang w:val="sr-Cyrl-CS"/>
        </w:rPr>
        <w:t>,</w:t>
      </w:r>
      <w:r w:rsidR="008A4A9F" w:rsidRPr="0081718F">
        <w:t xml:space="preserve"> односно неусклађеност</w:t>
      </w:r>
      <w:r w:rsidR="008A4A9F">
        <w:t>:</w:t>
      </w:r>
    </w:p>
    <w:p w:rsidR="002C533B" w:rsidRPr="002709FB" w:rsidRDefault="002C533B">
      <w:pPr>
        <w:jc w:val="both"/>
        <w:rPr>
          <w:lang w:val="sr-Cyrl-CS"/>
        </w:rPr>
      </w:pPr>
    </w:p>
    <w:p w:rsidR="002C533B" w:rsidRDefault="003B403D">
      <w:pPr>
        <w:jc w:val="both"/>
        <w:rPr>
          <w:szCs w:val="18"/>
          <w:lang w:val="sr-Cyrl-CS"/>
        </w:rPr>
      </w:pPr>
      <w:r>
        <w:rPr>
          <w:szCs w:val="18"/>
          <w:lang w:val="sr-Cyrl-CS"/>
        </w:rPr>
        <w:t xml:space="preserve">Предлог </w:t>
      </w:r>
      <w:r w:rsidR="004B6F88">
        <w:rPr>
          <w:szCs w:val="18"/>
          <w:lang w:val="sr-Cyrl-CS"/>
        </w:rPr>
        <w:t>закона</w:t>
      </w:r>
      <w:r w:rsidR="006B2B39" w:rsidRPr="002709FB">
        <w:rPr>
          <w:szCs w:val="18"/>
          <w:lang w:val="sr-Cyrl-CS"/>
        </w:rPr>
        <w:t xml:space="preserve"> о грађевинским производима је делимично усклађен са </w:t>
      </w:r>
      <w:r w:rsidR="008146A8" w:rsidRPr="002709FB">
        <w:rPr>
          <w:szCs w:val="18"/>
          <w:lang w:val="sr-Cyrl-CS"/>
        </w:rPr>
        <w:t xml:space="preserve">наведеним </w:t>
      </w:r>
      <w:r w:rsidR="008146A8" w:rsidRPr="002709FB">
        <w:t>секундарни</w:t>
      </w:r>
      <w:r w:rsidR="008146A8" w:rsidRPr="002709FB">
        <w:rPr>
          <w:lang w:val="sr-Cyrl-CS"/>
        </w:rPr>
        <w:t>м</w:t>
      </w:r>
      <w:r w:rsidR="008146A8" w:rsidRPr="002709FB">
        <w:t xml:space="preserve"> извор</w:t>
      </w:r>
      <w:r w:rsidR="008146A8" w:rsidRPr="002709FB">
        <w:rPr>
          <w:lang w:val="sr-Cyrl-CS"/>
        </w:rPr>
        <w:t>им</w:t>
      </w:r>
      <w:r w:rsidR="008146A8" w:rsidRPr="002709FB">
        <w:t>а права Европске уније</w:t>
      </w:r>
      <w:r w:rsidR="008146A8" w:rsidRPr="002709FB">
        <w:rPr>
          <w:szCs w:val="18"/>
          <w:lang w:val="sr-Cyrl-CS"/>
        </w:rPr>
        <w:t xml:space="preserve"> </w:t>
      </w:r>
      <w:r w:rsidR="006B2B39" w:rsidRPr="002709FB">
        <w:rPr>
          <w:szCs w:val="18"/>
          <w:lang w:val="sr-Cyrl-CS"/>
        </w:rPr>
        <w:t>због статуса нечланице Републике Србије. Такође, из финансијских разлога ће се постепено уводити обавезна примена хармонизованих техничких спецификација.</w:t>
      </w:r>
      <w:r w:rsidR="008146A8" w:rsidRPr="002709FB">
        <w:rPr>
          <w:szCs w:val="18"/>
          <w:lang w:val="sr-Cyrl-CS"/>
        </w:rPr>
        <w:t xml:space="preserve"> Поред наведеног, </w:t>
      </w:r>
      <w:r>
        <w:rPr>
          <w:szCs w:val="18"/>
          <w:lang w:val="sr-Cyrl-CS"/>
        </w:rPr>
        <w:t xml:space="preserve">Предлог </w:t>
      </w:r>
      <w:r w:rsidR="004B6F88">
        <w:rPr>
          <w:szCs w:val="18"/>
          <w:lang w:val="sr-Cyrl-CS"/>
        </w:rPr>
        <w:t>закона</w:t>
      </w:r>
      <w:r w:rsidR="00D44AE9">
        <w:rPr>
          <w:szCs w:val="18"/>
          <w:lang w:val="sr-Cyrl-CS"/>
        </w:rPr>
        <w:t xml:space="preserve"> о грађевинским производима</w:t>
      </w:r>
      <w:r w:rsidR="008146A8" w:rsidRPr="002709FB">
        <w:rPr>
          <w:szCs w:val="18"/>
          <w:lang w:val="sr-Cyrl-CS"/>
        </w:rPr>
        <w:t xml:space="preserve"> </w:t>
      </w:r>
      <w:r w:rsidR="004B6F88">
        <w:rPr>
          <w:szCs w:val="18"/>
          <w:lang w:val="sr-Cyrl-CS"/>
        </w:rPr>
        <w:t xml:space="preserve">садржи одредбе којима се </w:t>
      </w:r>
      <w:r w:rsidR="008146A8" w:rsidRPr="002709FB">
        <w:rPr>
          <w:szCs w:val="18"/>
          <w:lang w:val="sr-Cyrl-CS"/>
        </w:rPr>
        <w:t>уређуј</w:t>
      </w:r>
      <w:r w:rsidR="004B6F88">
        <w:rPr>
          <w:szCs w:val="18"/>
          <w:lang w:val="sr-Cyrl-CS"/>
        </w:rPr>
        <w:t>у</w:t>
      </w:r>
      <w:r w:rsidR="008146A8" w:rsidRPr="002709FB">
        <w:rPr>
          <w:szCs w:val="18"/>
          <w:lang w:val="sr-Cyrl-CS"/>
        </w:rPr>
        <w:t xml:space="preserve"> услов</w:t>
      </w:r>
      <w:r w:rsidR="004B6F88">
        <w:rPr>
          <w:szCs w:val="18"/>
          <w:lang w:val="sr-Cyrl-CS"/>
        </w:rPr>
        <w:t>и</w:t>
      </w:r>
      <w:r w:rsidR="008146A8" w:rsidRPr="002709FB">
        <w:rPr>
          <w:szCs w:val="18"/>
          <w:lang w:val="sr-Cyrl-CS"/>
        </w:rPr>
        <w:t xml:space="preserve"> за стављање </w:t>
      </w:r>
      <w:r w:rsidR="004B6F88">
        <w:rPr>
          <w:szCs w:val="18"/>
          <w:lang w:val="sr-Cyrl-CS"/>
        </w:rPr>
        <w:t xml:space="preserve">и испоруку </w:t>
      </w:r>
      <w:r w:rsidR="008146A8" w:rsidRPr="002709FB">
        <w:rPr>
          <w:szCs w:val="18"/>
          <w:lang w:val="sr-Cyrl-CS"/>
        </w:rPr>
        <w:t>на тржиште и грађевинских производа из нехармонизованог подручја.</w:t>
      </w:r>
    </w:p>
    <w:p w:rsidR="00D44AE9" w:rsidRPr="00D44AE9" w:rsidRDefault="003B403D" w:rsidP="00226A5C">
      <w:pPr>
        <w:spacing w:before="120"/>
        <w:jc w:val="both"/>
        <w:rPr>
          <w:sz w:val="36"/>
          <w:lang w:val="sr-Cyrl-CS"/>
        </w:rPr>
      </w:pPr>
      <w:r>
        <w:rPr>
          <w:szCs w:val="18"/>
          <w:lang w:val="sr-Cyrl-CS"/>
        </w:rPr>
        <w:t xml:space="preserve">Предлог </w:t>
      </w:r>
      <w:r w:rsidR="00D44AE9">
        <w:rPr>
          <w:szCs w:val="18"/>
          <w:lang w:val="sr-Cyrl-CS"/>
        </w:rPr>
        <w:t xml:space="preserve">закона о грађевинским производима није усклађен са наведеним изворима права Европске уније јер је овим </w:t>
      </w:r>
      <w:r>
        <w:rPr>
          <w:szCs w:val="18"/>
          <w:lang w:val="sr-Cyrl-CS"/>
        </w:rPr>
        <w:t xml:space="preserve">законом </w:t>
      </w:r>
      <w:r w:rsidR="00D44AE9">
        <w:rPr>
          <w:szCs w:val="18"/>
          <w:lang w:val="sr-Cyrl-CS"/>
        </w:rPr>
        <w:t>прописано доношење подзаконских аката којима ће бити преузет</w:t>
      </w:r>
      <w:r w:rsidR="002D2EFE">
        <w:rPr>
          <w:szCs w:val="18"/>
          <w:lang w:val="sr-Cyrl-CS"/>
        </w:rPr>
        <w:t>е одредбе које прописују</w:t>
      </w:r>
      <w:r w:rsidR="00D44AE9">
        <w:rPr>
          <w:szCs w:val="18"/>
          <w:lang w:val="sr-Cyrl-CS"/>
        </w:rPr>
        <w:t xml:space="preserve"> садржину и начин израде декларације о перформансама и формат техничке оцене.</w:t>
      </w:r>
    </w:p>
    <w:p w:rsidR="006B2B39" w:rsidRPr="002709FB" w:rsidRDefault="006B2B39">
      <w:pPr>
        <w:jc w:val="both"/>
        <w:rPr>
          <w:lang w:val="sr-Cyrl-CS"/>
        </w:rPr>
      </w:pPr>
    </w:p>
    <w:p w:rsidR="003D192B" w:rsidRPr="008A4A9F" w:rsidRDefault="004949B0">
      <w:pPr>
        <w:jc w:val="both"/>
        <w:rPr>
          <w:lang w:val="sr-Latn-CS"/>
        </w:rPr>
      </w:pPr>
      <w:r w:rsidRPr="002709FB">
        <w:rPr>
          <w:lang w:val="sr-Cyrl-CS"/>
        </w:rPr>
        <w:t>д</w:t>
      </w:r>
      <w:r w:rsidR="00007AE0" w:rsidRPr="002709FB">
        <w:t>)</w:t>
      </w:r>
      <w:r w:rsidR="00007AE0" w:rsidRPr="002709FB">
        <w:rPr>
          <w:lang w:val="sr-Cyrl-CS"/>
        </w:rPr>
        <w:t xml:space="preserve"> </w:t>
      </w:r>
      <w:r w:rsidR="008A4A9F" w:rsidRPr="0081718F">
        <w:rPr>
          <w:lang w:val="sr-Cyrl-CS"/>
        </w:rPr>
        <w:t>Р</w:t>
      </w:r>
      <w:r w:rsidR="008A4A9F" w:rsidRPr="0081718F">
        <w:t xml:space="preserve">ок у којем је предвиђено постизање потпуне усклађености </w:t>
      </w:r>
      <w:r w:rsidR="008A4A9F" w:rsidRPr="0081718F">
        <w:rPr>
          <w:lang w:val="sr-Cyrl-CS"/>
        </w:rPr>
        <w:t>прописа</w:t>
      </w:r>
      <w:r w:rsidR="008A4A9F" w:rsidRPr="0081718F">
        <w:t xml:space="preserve"> с</w:t>
      </w:r>
      <w:r w:rsidR="008A4A9F" w:rsidRPr="0081718F">
        <w:rPr>
          <w:lang w:val="sr-Cyrl-CS"/>
        </w:rPr>
        <w:t>а прописима Европске уније</w:t>
      </w:r>
      <w:r w:rsidR="008A4A9F">
        <w:rPr>
          <w:lang w:val="sr-Latn-CS"/>
        </w:rPr>
        <w:t>:</w:t>
      </w:r>
    </w:p>
    <w:p w:rsidR="002307BB" w:rsidRDefault="006B2B39" w:rsidP="001A0DF8">
      <w:pPr>
        <w:spacing w:before="120"/>
        <w:jc w:val="center"/>
        <w:rPr>
          <w:lang w:val="sr-Cyrl-CS"/>
        </w:rPr>
      </w:pPr>
      <w:r w:rsidRPr="002709FB">
        <w:rPr>
          <w:lang w:val="sr-Cyrl-CS"/>
        </w:rPr>
        <w:t>Датум приступ</w:t>
      </w:r>
      <w:r w:rsidR="007D007B">
        <w:rPr>
          <w:lang w:val="sr-Cyrl-CS"/>
        </w:rPr>
        <w:t>ања Републике Србије Европској у</w:t>
      </w:r>
      <w:r w:rsidRPr="002709FB">
        <w:rPr>
          <w:lang w:val="sr-Cyrl-CS"/>
        </w:rPr>
        <w:t>нији</w:t>
      </w:r>
    </w:p>
    <w:p w:rsidR="003773BF" w:rsidRPr="002709FB" w:rsidRDefault="003773BF" w:rsidP="001A0DF8">
      <w:pPr>
        <w:spacing w:before="120"/>
        <w:jc w:val="center"/>
        <w:rPr>
          <w:lang w:val="sr-Cyrl-CS"/>
        </w:rPr>
      </w:pPr>
      <w:bookmarkStart w:id="0" w:name="_GoBack"/>
      <w:bookmarkEnd w:id="0"/>
    </w:p>
    <w:p w:rsidR="006A0FA5" w:rsidRPr="002709FB" w:rsidRDefault="006A0FA5">
      <w:pPr>
        <w:jc w:val="both"/>
        <w:rPr>
          <w:i/>
          <w:lang w:val="sr-Cyrl-CS"/>
        </w:rPr>
      </w:pPr>
    </w:p>
    <w:p w:rsidR="002307BB" w:rsidRPr="002709FB" w:rsidRDefault="00955514" w:rsidP="006A0FA5">
      <w:pPr>
        <w:jc w:val="both"/>
        <w:rPr>
          <w:lang w:val="ru-RU"/>
        </w:rPr>
      </w:pPr>
      <w:r w:rsidRPr="002709FB">
        <w:rPr>
          <w:lang w:val="sr-Cyrl-CS"/>
        </w:rPr>
        <w:lastRenderedPageBreak/>
        <w:t>5</w:t>
      </w:r>
      <w:r w:rsidR="006A0FA5" w:rsidRPr="002709FB">
        <w:rPr>
          <w:lang w:val="ru-RU"/>
        </w:rPr>
        <w:t xml:space="preserve">. </w:t>
      </w:r>
      <w:r w:rsidR="00AA6CCA" w:rsidRPr="002709FB">
        <w:rPr>
          <w:lang w:val="ru-RU"/>
        </w:rPr>
        <w:t xml:space="preserve">Уколико не постоје одговарајуће надлежности </w:t>
      </w:r>
      <w:r w:rsidR="0081718F" w:rsidRPr="002709FB">
        <w:rPr>
          <w:lang w:val="ru-RU"/>
        </w:rPr>
        <w:t xml:space="preserve">Европске уније </w:t>
      </w:r>
      <w:r w:rsidR="00AA6CCA" w:rsidRPr="002709FB">
        <w:rPr>
          <w:lang w:val="ru-RU"/>
        </w:rPr>
        <w:t>у материји коју регулише пропис, и/или не постоје одговарајући секундарни извори права Европске уније са којима је потребно обезбедити усклађеност, потребно је образложити ту чињеницу. У овом случају</w:t>
      </w:r>
      <w:r w:rsidR="0081718F" w:rsidRPr="002709FB">
        <w:rPr>
          <w:lang w:val="ru-RU"/>
        </w:rPr>
        <w:t>,</w:t>
      </w:r>
      <w:r w:rsidR="00AA6CCA" w:rsidRPr="002709FB">
        <w:rPr>
          <w:lang w:val="ru-RU"/>
        </w:rPr>
        <w:t xml:space="preserve"> није потребно попуњавати Табелу усклађености прописа. Табелу усклађености није потребно попуњавати и уколико се домаћим прописом не врши пренос одредби секундарног извора права </w:t>
      </w:r>
      <w:r w:rsidR="0081718F" w:rsidRPr="002709FB">
        <w:rPr>
          <w:lang w:val="ru-RU"/>
        </w:rPr>
        <w:t xml:space="preserve">Европске уније </w:t>
      </w:r>
      <w:r w:rsidR="00AA6CCA" w:rsidRPr="002709FB">
        <w:rPr>
          <w:lang w:val="ru-RU"/>
        </w:rPr>
        <w:t>већ се искључиво врши примена или спровођење неког захтева који произилази из одредбе секундарног извора права (нпр. Предлогом одлуке о изради стратешке процене утицаја биће спроведена обавеза из члана 4. Директиве 2001/42/ЕЗ, али се не врши и пренос те одредбе директиве)</w:t>
      </w:r>
      <w:r w:rsidR="0081718F" w:rsidRPr="002709FB">
        <w:rPr>
          <w:lang w:val="ru-RU"/>
        </w:rPr>
        <w:t>.</w:t>
      </w:r>
      <w:r w:rsidR="00AA6CCA" w:rsidRPr="002709FB">
        <w:rPr>
          <w:lang w:val="ru-RU"/>
        </w:rPr>
        <w:t xml:space="preserve"> </w:t>
      </w:r>
    </w:p>
    <w:p w:rsidR="006A0FA5" w:rsidRPr="002709FB" w:rsidRDefault="00A844CF" w:rsidP="006A0FA5">
      <w:pPr>
        <w:jc w:val="both"/>
        <w:rPr>
          <w:lang w:val="ru-RU"/>
        </w:rPr>
      </w:pPr>
      <w:r w:rsidRPr="002709FB">
        <w:rPr>
          <w:lang w:val="ru-RU"/>
        </w:rPr>
        <w:t>П</w:t>
      </w:r>
      <w:r w:rsidR="002307BB" w:rsidRPr="002709FB">
        <w:rPr>
          <w:lang w:val="ru-RU"/>
        </w:rPr>
        <w:t>остоје одговарајући секундарни извори права Европске уније са којима је потребно обезбедити усклађеност.</w:t>
      </w:r>
      <w:r w:rsidR="00AA6CCA" w:rsidRPr="002709FB">
        <w:rPr>
          <w:lang w:val="ru-RU"/>
        </w:rPr>
        <w:t xml:space="preserve"> </w:t>
      </w:r>
    </w:p>
    <w:p w:rsidR="003D192B" w:rsidRPr="002709FB" w:rsidRDefault="003D192B">
      <w:pPr>
        <w:jc w:val="both"/>
        <w:rPr>
          <w:lang w:val="sr-Cyrl-CS"/>
        </w:rPr>
      </w:pPr>
    </w:p>
    <w:p w:rsidR="003D192B" w:rsidRPr="002709FB" w:rsidRDefault="00955514">
      <w:pPr>
        <w:jc w:val="both"/>
      </w:pPr>
      <w:r w:rsidRPr="002709FB">
        <w:rPr>
          <w:lang w:val="sr-Cyrl-CS"/>
        </w:rPr>
        <w:t>6</w:t>
      </w:r>
      <w:r w:rsidR="003A6A07" w:rsidRPr="002709FB">
        <w:t xml:space="preserve">. </w:t>
      </w:r>
      <w:r w:rsidR="003A6A07" w:rsidRPr="002709FB">
        <w:rPr>
          <w:lang w:val="sr-Cyrl-CS"/>
        </w:rPr>
        <w:t xml:space="preserve">Да </w:t>
      </w:r>
      <w:r w:rsidR="003D192B" w:rsidRPr="002709FB">
        <w:t>ли</w:t>
      </w:r>
      <w:r w:rsidR="00725947" w:rsidRPr="002709FB">
        <w:rPr>
          <w:lang w:val="sr-Cyrl-CS"/>
        </w:rPr>
        <w:t xml:space="preserve"> су</w:t>
      </w:r>
      <w:r w:rsidR="00210F9E" w:rsidRPr="002709FB">
        <w:t xml:space="preserve"> </w:t>
      </w:r>
      <w:r w:rsidR="00210F9E" w:rsidRPr="002709FB">
        <w:rPr>
          <w:lang w:val="sr-Cyrl-CS"/>
        </w:rPr>
        <w:t>претходно</w:t>
      </w:r>
      <w:r w:rsidR="003D192B" w:rsidRPr="002709FB">
        <w:t xml:space="preserve"> наведени извори права </w:t>
      </w:r>
      <w:r w:rsidR="0081718F" w:rsidRPr="002709FB">
        <w:t xml:space="preserve">Европске уније </w:t>
      </w:r>
      <w:r w:rsidR="003D192B" w:rsidRPr="002709FB">
        <w:t xml:space="preserve">преведени на </w:t>
      </w:r>
      <w:r w:rsidR="00331FAE" w:rsidRPr="002709FB">
        <w:rPr>
          <w:lang w:val="sr-Cyrl-CS"/>
        </w:rPr>
        <w:t>срп</w:t>
      </w:r>
      <w:r w:rsidR="003D192B" w:rsidRPr="002709FB">
        <w:t>ски језик?</w:t>
      </w:r>
    </w:p>
    <w:p w:rsidR="00226A5C" w:rsidRDefault="00226A5C" w:rsidP="002307BB">
      <w:pPr>
        <w:jc w:val="center"/>
        <w:rPr>
          <w:lang w:val="sr-Cyrl-CS"/>
        </w:rPr>
      </w:pPr>
    </w:p>
    <w:p w:rsidR="002307BB" w:rsidRPr="002709FB" w:rsidRDefault="006B2B39" w:rsidP="002307BB">
      <w:pPr>
        <w:jc w:val="center"/>
        <w:rPr>
          <w:lang w:val="sr-Cyrl-CS"/>
        </w:rPr>
      </w:pPr>
      <w:r w:rsidRPr="002709FB">
        <w:rPr>
          <w:lang w:val="sr-Cyrl-CS"/>
        </w:rPr>
        <w:t>Нису</w:t>
      </w:r>
      <w:r w:rsidR="00A844CF" w:rsidRPr="002709FB">
        <w:rPr>
          <w:lang w:val="sr-Cyrl-CS"/>
        </w:rPr>
        <w:t xml:space="preserve"> у потпуности</w:t>
      </w:r>
    </w:p>
    <w:p w:rsidR="003D192B" w:rsidRPr="002709FB" w:rsidRDefault="003D192B">
      <w:pPr>
        <w:jc w:val="both"/>
      </w:pPr>
    </w:p>
    <w:p w:rsidR="003D192B" w:rsidRPr="002709FB" w:rsidRDefault="00955514">
      <w:pPr>
        <w:jc w:val="both"/>
      </w:pPr>
      <w:r w:rsidRPr="002709FB">
        <w:rPr>
          <w:lang w:val="sr-Cyrl-CS"/>
        </w:rPr>
        <w:t>7</w:t>
      </w:r>
      <w:r w:rsidR="003A6A07" w:rsidRPr="002709FB">
        <w:t xml:space="preserve">. </w:t>
      </w:r>
      <w:r w:rsidR="0066659B" w:rsidRPr="002709FB">
        <w:rPr>
          <w:lang w:val="sr-Cyrl-CS"/>
        </w:rPr>
        <w:t>Да ли је</w:t>
      </w:r>
      <w:r w:rsidR="00BF1425" w:rsidRPr="002709FB">
        <w:t xml:space="preserve"> пропис</w:t>
      </w:r>
      <w:r w:rsidR="003D192B" w:rsidRPr="002709FB">
        <w:t xml:space="preserve"> преведен на неки службени језик </w:t>
      </w:r>
      <w:r w:rsidR="0081718F" w:rsidRPr="002709FB">
        <w:t>Европске уније</w:t>
      </w:r>
      <w:r w:rsidR="003D192B" w:rsidRPr="002709FB">
        <w:t>?</w:t>
      </w:r>
    </w:p>
    <w:p w:rsidR="00D3015E" w:rsidRPr="002709FB" w:rsidRDefault="00D3015E" w:rsidP="002307BB">
      <w:pPr>
        <w:jc w:val="center"/>
        <w:rPr>
          <w:lang w:val="sr-Cyrl-CS"/>
        </w:rPr>
      </w:pPr>
    </w:p>
    <w:p w:rsidR="002307BB" w:rsidRPr="002709FB" w:rsidRDefault="0066095C" w:rsidP="002307BB">
      <w:pPr>
        <w:jc w:val="center"/>
        <w:rPr>
          <w:lang w:val="sr-Cyrl-CS"/>
        </w:rPr>
      </w:pPr>
      <w:r>
        <w:rPr>
          <w:lang w:val="sr-Cyrl-CS"/>
        </w:rPr>
        <w:t>Да</w:t>
      </w:r>
    </w:p>
    <w:p w:rsidR="003D192B" w:rsidRPr="002709FB" w:rsidRDefault="003D192B">
      <w:pPr>
        <w:jc w:val="both"/>
      </w:pPr>
    </w:p>
    <w:p w:rsidR="003D192B" w:rsidRDefault="00955514">
      <w:pPr>
        <w:jc w:val="both"/>
        <w:rPr>
          <w:lang w:val="sr-Latn-CS"/>
        </w:rPr>
      </w:pPr>
      <w:r w:rsidRPr="002709FB">
        <w:rPr>
          <w:lang w:val="sr-Cyrl-CS"/>
        </w:rPr>
        <w:t>8</w:t>
      </w:r>
      <w:r w:rsidR="003D192B" w:rsidRPr="002709FB">
        <w:t xml:space="preserve">. </w:t>
      </w:r>
      <w:r w:rsidR="008A4A9F" w:rsidRPr="008A4A9F">
        <w:rPr>
          <w:lang w:val="sr-Cyrl-CS"/>
        </w:rPr>
        <w:t>Сарадња са Европском унијом и учешће консултаната у изради прописа и њихово мишљење о усклађености</w:t>
      </w:r>
      <w:r w:rsidR="008A4A9F">
        <w:rPr>
          <w:lang w:val="sr-Latn-CS"/>
        </w:rPr>
        <w:t>:</w:t>
      </w:r>
    </w:p>
    <w:p w:rsidR="008A4A9F" w:rsidRDefault="008A4A9F">
      <w:pPr>
        <w:jc w:val="both"/>
        <w:rPr>
          <w:lang w:val="sr-Latn-CS"/>
        </w:rPr>
      </w:pPr>
    </w:p>
    <w:p w:rsidR="0013608F" w:rsidRDefault="00254683" w:rsidP="00254683">
      <w:pPr>
        <w:spacing w:after="120"/>
        <w:ind w:firstLine="708"/>
        <w:jc w:val="both"/>
        <w:rPr>
          <w:lang w:val="sr-Cyrl-CS"/>
        </w:rPr>
      </w:pPr>
      <w:r>
        <w:rPr>
          <w:lang w:val="sr-Cyrl-CS"/>
        </w:rPr>
        <w:t xml:space="preserve">Министарство грађевинарства, саобраћаја и инфраструктуре </w:t>
      </w:r>
      <w:r w:rsidR="0013608F">
        <w:rPr>
          <w:lang w:val="sr-Cyrl-CS"/>
        </w:rPr>
        <w:t xml:space="preserve">упутило је </w:t>
      </w:r>
      <w:r w:rsidR="007D007B">
        <w:rPr>
          <w:lang w:val="sr-Cyrl-CS"/>
        </w:rPr>
        <w:t xml:space="preserve">Предлог </w:t>
      </w:r>
      <w:r>
        <w:rPr>
          <w:lang w:val="sr-Cyrl-CS"/>
        </w:rPr>
        <w:t xml:space="preserve"> закона о грађевинским производима Европској комисији, након чега је, у складу са коментарима Европске комисије, текст </w:t>
      </w:r>
      <w:r w:rsidR="007D007B">
        <w:rPr>
          <w:lang w:val="sr-Cyrl-CS"/>
        </w:rPr>
        <w:t xml:space="preserve">Предлога </w:t>
      </w:r>
      <w:r>
        <w:rPr>
          <w:lang w:val="sr-Cyrl-CS"/>
        </w:rPr>
        <w:t xml:space="preserve">закона коригован и поново достављен Европској комисији на консултацију. </w:t>
      </w:r>
    </w:p>
    <w:p w:rsidR="00254683" w:rsidRPr="0089784C" w:rsidRDefault="00254683" w:rsidP="00254683">
      <w:pPr>
        <w:spacing w:after="120"/>
        <w:ind w:firstLine="708"/>
        <w:jc w:val="both"/>
        <w:rPr>
          <w:lang w:val="sr-Cyrl-CS"/>
        </w:rPr>
      </w:pPr>
      <w:r>
        <w:rPr>
          <w:lang w:val="sr-Cyrl-CS"/>
        </w:rPr>
        <w:t>Домаћи и страни консултанти нису учес</w:t>
      </w:r>
      <w:r w:rsidR="009C26A0">
        <w:rPr>
          <w:lang w:val="sr-Cyrl-CS"/>
        </w:rPr>
        <w:t>т</w:t>
      </w:r>
      <w:r>
        <w:rPr>
          <w:lang w:val="sr-Cyrl-CS"/>
        </w:rPr>
        <w:t xml:space="preserve">вовали у изради </w:t>
      </w:r>
      <w:r w:rsidR="007D007B">
        <w:rPr>
          <w:lang w:val="sr-Cyrl-CS"/>
        </w:rPr>
        <w:t xml:space="preserve">Предлога </w:t>
      </w:r>
      <w:r>
        <w:rPr>
          <w:lang w:val="sr-Cyrl-CS"/>
        </w:rPr>
        <w:t>закона о грађевинским производима.</w:t>
      </w:r>
    </w:p>
    <w:p w:rsidR="00254683" w:rsidRDefault="00254683" w:rsidP="00254683">
      <w:pPr>
        <w:spacing w:after="120"/>
        <w:ind w:firstLine="70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4B416A" w:rsidRPr="002709FB" w:rsidRDefault="00AF04A6" w:rsidP="003F7536">
      <w:pPr>
        <w:outlineLvl w:val="0"/>
        <w:rPr>
          <w:b/>
          <w:lang w:val="sr-Cyrl-CS"/>
        </w:rPr>
      </w:pPr>
      <w:r w:rsidRPr="002709FB">
        <w:rPr>
          <w:b/>
          <w:lang w:val="sr-Cyrl-CS"/>
        </w:rPr>
        <w:t xml:space="preserve">                                                                                    </w:t>
      </w:r>
    </w:p>
    <w:p w:rsidR="00AF04A6" w:rsidRPr="002709FB" w:rsidRDefault="00AF04A6" w:rsidP="004B416A">
      <w:pPr>
        <w:ind w:firstLine="720"/>
        <w:jc w:val="center"/>
        <w:rPr>
          <w:b/>
          <w:lang w:val="sr-Cyrl-CS"/>
        </w:rPr>
      </w:pPr>
    </w:p>
    <w:p w:rsidR="00AF04A6" w:rsidRPr="002709FB" w:rsidRDefault="00AF04A6" w:rsidP="004B416A">
      <w:pPr>
        <w:ind w:firstLine="720"/>
        <w:jc w:val="center"/>
        <w:rPr>
          <w:b/>
          <w:lang w:val="sr-Cyrl-CS"/>
        </w:rPr>
      </w:pPr>
    </w:p>
    <w:p w:rsidR="004B416A" w:rsidRPr="002709FB" w:rsidRDefault="00AF04A6" w:rsidP="004B416A">
      <w:pPr>
        <w:ind w:firstLine="720"/>
        <w:jc w:val="center"/>
        <w:rPr>
          <w:b/>
          <w:lang w:val="sr-Cyrl-CS"/>
        </w:rPr>
      </w:pPr>
      <w:r w:rsidRPr="002709FB">
        <w:rPr>
          <w:b/>
          <w:lang w:val="sr-Cyrl-CS"/>
        </w:rPr>
        <w:t xml:space="preserve">                                                                </w:t>
      </w:r>
    </w:p>
    <w:p w:rsidR="00AF04A6" w:rsidRPr="002709FB" w:rsidRDefault="00AF04A6">
      <w:pPr>
        <w:jc w:val="center"/>
        <w:rPr>
          <w:b/>
          <w:bCs/>
          <w:lang w:val="sr-Cyrl-CS"/>
        </w:rPr>
      </w:pPr>
    </w:p>
    <w:sectPr w:rsidR="00AF04A6" w:rsidRPr="002709FB" w:rsidSect="00A456FD">
      <w:footerReference w:type="even" r:id="rId9"/>
      <w:footerReference w:type="default" r:id="rId10"/>
      <w:pgSz w:w="11906" w:h="16838" w:code="9"/>
      <w:pgMar w:top="1276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BC" w:rsidRDefault="002C32BC">
      <w:r>
        <w:separator/>
      </w:r>
    </w:p>
  </w:endnote>
  <w:endnote w:type="continuationSeparator" w:id="0">
    <w:p w:rsidR="002C32BC" w:rsidRDefault="002C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D7" w:rsidRDefault="00BB20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63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63D7" w:rsidRDefault="002A63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874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56FD" w:rsidRDefault="00A456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3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63D7" w:rsidRDefault="002A63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BC" w:rsidRDefault="002C32BC">
      <w:r>
        <w:separator/>
      </w:r>
    </w:p>
  </w:footnote>
  <w:footnote w:type="continuationSeparator" w:id="0">
    <w:p w:rsidR="002C32BC" w:rsidRDefault="002C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48C"/>
    <w:multiLevelType w:val="hybridMultilevel"/>
    <w:tmpl w:val="DE76DB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E69C1"/>
    <w:multiLevelType w:val="hybridMultilevel"/>
    <w:tmpl w:val="C49E7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D39C6"/>
    <w:multiLevelType w:val="hybridMultilevel"/>
    <w:tmpl w:val="6CCE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3F1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26636571"/>
    <w:multiLevelType w:val="hybridMultilevel"/>
    <w:tmpl w:val="BF8C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D43E3"/>
    <w:multiLevelType w:val="hybridMultilevel"/>
    <w:tmpl w:val="2CEA806C"/>
    <w:lvl w:ilvl="0" w:tplc="3D2A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222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D8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44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C5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01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B63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CB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20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B7E64"/>
    <w:multiLevelType w:val="hybridMultilevel"/>
    <w:tmpl w:val="0710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05D1"/>
    <w:multiLevelType w:val="hybridMultilevel"/>
    <w:tmpl w:val="07105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9535A"/>
    <w:multiLevelType w:val="hybridMultilevel"/>
    <w:tmpl w:val="F956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B01AA"/>
    <w:multiLevelType w:val="hybridMultilevel"/>
    <w:tmpl w:val="03BC8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9F2796"/>
    <w:multiLevelType w:val="hybridMultilevel"/>
    <w:tmpl w:val="E2C2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AE"/>
    <w:rsid w:val="00005093"/>
    <w:rsid w:val="00007AE0"/>
    <w:rsid w:val="00010D7F"/>
    <w:rsid w:val="000152C3"/>
    <w:rsid w:val="000256F9"/>
    <w:rsid w:val="00055D0B"/>
    <w:rsid w:val="000914B3"/>
    <w:rsid w:val="00094143"/>
    <w:rsid w:val="000A56EC"/>
    <w:rsid w:val="000B5FD7"/>
    <w:rsid w:val="000B7405"/>
    <w:rsid w:val="000E246D"/>
    <w:rsid w:val="000E51A2"/>
    <w:rsid w:val="000E7645"/>
    <w:rsid w:val="00102EC2"/>
    <w:rsid w:val="001078BB"/>
    <w:rsid w:val="00120B4C"/>
    <w:rsid w:val="00126AC0"/>
    <w:rsid w:val="0012775E"/>
    <w:rsid w:val="0013608F"/>
    <w:rsid w:val="00142BCE"/>
    <w:rsid w:val="00145EC9"/>
    <w:rsid w:val="00146DDD"/>
    <w:rsid w:val="0016223C"/>
    <w:rsid w:val="00166343"/>
    <w:rsid w:val="00173176"/>
    <w:rsid w:val="001735E7"/>
    <w:rsid w:val="00186F25"/>
    <w:rsid w:val="0019111C"/>
    <w:rsid w:val="001A0DF8"/>
    <w:rsid w:val="001A22CB"/>
    <w:rsid w:val="001A37B0"/>
    <w:rsid w:val="001B0DD5"/>
    <w:rsid w:val="001C132C"/>
    <w:rsid w:val="001D0895"/>
    <w:rsid w:val="001D3496"/>
    <w:rsid w:val="001D37A1"/>
    <w:rsid w:val="001E4632"/>
    <w:rsid w:val="001F22D5"/>
    <w:rsid w:val="00210F9E"/>
    <w:rsid w:val="00221A55"/>
    <w:rsid w:val="00224EE7"/>
    <w:rsid w:val="00226A5C"/>
    <w:rsid w:val="002307BB"/>
    <w:rsid w:val="0025035F"/>
    <w:rsid w:val="00251813"/>
    <w:rsid w:val="0025276D"/>
    <w:rsid w:val="00254683"/>
    <w:rsid w:val="00255D80"/>
    <w:rsid w:val="00257BB4"/>
    <w:rsid w:val="002709FB"/>
    <w:rsid w:val="002742B6"/>
    <w:rsid w:val="00282438"/>
    <w:rsid w:val="002A1298"/>
    <w:rsid w:val="002A63D7"/>
    <w:rsid w:val="002C173A"/>
    <w:rsid w:val="002C32BC"/>
    <w:rsid w:val="002C533B"/>
    <w:rsid w:val="002D2EFE"/>
    <w:rsid w:val="002E0D0A"/>
    <w:rsid w:val="002E3BB0"/>
    <w:rsid w:val="00313521"/>
    <w:rsid w:val="00325906"/>
    <w:rsid w:val="0032777F"/>
    <w:rsid w:val="00331FAE"/>
    <w:rsid w:val="003773BF"/>
    <w:rsid w:val="0037750A"/>
    <w:rsid w:val="003972CC"/>
    <w:rsid w:val="00397E5A"/>
    <w:rsid w:val="003A6A07"/>
    <w:rsid w:val="003A755F"/>
    <w:rsid w:val="003B403D"/>
    <w:rsid w:val="003D192B"/>
    <w:rsid w:val="003E160D"/>
    <w:rsid w:val="003E46FD"/>
    <w:rsid w:val="003F1F60"/>
    <w:rsid w:val="003F33CA"/>
    <w:rsid w:val="003F7536"/>
    <w:rsid w:val="004004A1"/>
    <w:rsid w:val="00437021"/>
    <w:rsid w:val="004475F1"/>
    <w:rsid w:val="00447ED2"/>
    <w:rsid w:val="00450B48"/>
    <w:rsid w:val="0045471E"/>
    <w:rsid w:val="00457ADE"/>
    <w:rsid w:val="004639E1"/>
    <w:rsid w:val="00470B6D"/>
    <w:rsid w:val="00473C77"/>
    <w:rsid w:val="00492080"/>
    <w:rsid w:val="004949B0"/>
    <w:rsid w:val="004B416A"/>
    <w:rsid w:val="004B63F5"/>
    <w:rsid w:val="004B6F88"/>
    <w:rsid w:val="004B782B"/>
    <w:rsid w:val="004C2332"/>
    <w:rsid w:val="004D5F3E"/>
    <w:rsid w:val="004E7BCE"/>
    <w:rsid w:val="004F1073"/>
    <w:rsid w:val="004F36FE"/>
    <w:rsid w:val="004F40A8"/>
    <w:rsid w:val="005136F1"/>
    <w:rsid w:val="00524776"/>
    <w:rsid w:val="0053394A"/>
    <w:rsid w:val="00547661"/>
    <w:rsid w:val="00554400"/>
    <w:rsid w:val="00563C57"/>
    <w:rsid w:val="00564EAF"/>
    <w:rsid w:val="00596AE7"/>
    <w:rsid w:val="005A74FA"/>
    <w:rsid w:val="005B7A94"/>
    <w:rsid w:val="005D6EB3"/>
    <w:rsid w:val="005E2212"/>
    <w:rsid w:val="005E5EB4"/>
    <w:rsid w:val="00620EA2"/>
    <w:rsid w:val="006235AE"/>
    <w:rsid w:val="00625EEE"/>
    <w:rsid w:val="00626CB4"/>
    <w:rsid w:val="00633A7B"/>
    <w:rsid w:val="00634FF5"/>
    <w:rsid w:val="006547CE"/>
    <w:rsid w:val="00654C59"/>
    <w:rsid w:val="00656316"/>
    <w:rsid w:val="0066095C"/>
    <w:rsid w:val="006613B9"/>
    <w:rsid w:val="0066659B"/>
    <w:rsid w:val="006715CF"/>
    <w:rsid w:val="00671F81"/>
    <w:rsid w:val="006913D3"/>
    <w:rsid w:val="006A0D75"/>
    <w:rsid w:val="006A0FA5"/>
    <w:rsid w:val="006A282C"/>
    <w:rsid w:val="006A2F47"/>
    <w:rsid w:val="006B2B39"/>
    <w:rsid w:val="006B7E98"/>
    <w:rsid w:val="006C559C"/>
    <w:rsid w:val="006D47C1"/>
    <w:rsid w:val="006D67EB"/>
    <w:rsid w:val="006F503F"/>
    <w:rsid w:val="00725947"/>
    <w:rsid w:val="00740772"/>
    <w:rsid w:val="00742318"/>
    <w:rsid w:val="00743C87"/>
    <w:rsid w:val="00760B68"/>
    <w:rsid w:val="00774905"/>
    <w:rsid w:val="007774BF"/>
    <w:rsid w:val="00796EE5"/>
    <w:rsid w:val="007A7DBB"/>
    <w:rsid w:val="007B358F"/>
    <w:rsid w:val="007B4DF8"/>
    <w:rsid w:val="007C48FF"/>
    <w:rsid w:val="007D007B"/>
    <w:rsid w:val="007E6F05"/>
    <w:rsid w:val="007E722A"/>
    <w:rsid w:val="008005AE"/>
    <w:rsid w:val="00803941"/>
    <w:rsid w:val="00810A00"/>
    <w:rsid w:val="008146A8"/>
    <w:rsid w:val="0081718F"/>
    <w:rsid w:val="00823A5E"/>
    <w:rsid w:val="00823CC9"/>
    <w:rsid w:val="00843A8C"/>
    <w:rsid w:val="008565FD"/>
    <w:rsid w:val="00856C41"/>
    <w:rsid w:val="00860D6D"/>
    <w:rsid w:val="00862A41"/>
    <w:rsid w:val="00863F92"/>
    <w:rsid w:val="008710FB"/>
    <w:rsid w:val="00871D39"/>
    <w:rsid w:val="00875C4D"/>
    <w:rsid w:val="00883F32"/>
    <w:rsid w:val="00885A52"/>
    <w:rsid w:val="00887C17"/>
    <w:rsid w:val="008949A4"/>
    <w:rsid w:val="0089784C"/>
    <w:rsid w:val="008A167D"/>
    <w:rsid w:val="008A4A9F"/>
    <w:rsid w:val="008B00B7"/>
    <w:rsid w:val="008B15B3"/>
    <w:rsid w:val="008C1D1B"/>
    <w:rsid w:val="008D7DB4"/>
    <w:rsid w:val="008E5870"/>
    <w:rsid w:val="008E6601"/>
    <w:rsid w:val="008E7CFC"/>
    <w:rsid w:val="0090625B"/>
    <w:rsid w:val="009368CF"/>
    <w:rsid w:val="009449DF"/>
    <w:rsid w:val="00945542"/>
    <w:rsid w:val="00945FD9"/>
    <w:rsid w:val="009509DE"/>
    <w:rsid w:val="00955514"/>
    <w:rsid w:val="00967B90"/>
    <w:rsid w:val="00967F20"/>
    <w:rsid w:val="00970EA1"/>
    <w:rsid w:val="009857DF"/>
    <w:rsid w:val="00987640"/>
    <w:rsid w:val="009A1AB2"/>
    <w:rsid w:val="009A5DC6"/>
    <w:rsid w:val="009A783B"/>
    <w:rsid w:val="009A7B10"/>
    <w:rsid w:val="009B07CA"/>
    <w:rsid w:val="009B58D0"/>
    <w:rsid w:val="009B6EED"/>
    <w:rsid w:val="009C26A0"/>
    <w:rsid w:val="009C6EBA"/>
    <w:rsid w:val="009D03C4"/>
    <w:rsid w:val="009E1887"/>
    <w:rsid w:val="009E32D2"/>
    <w:rsid w:val="00A04B64"/>
    <w:rsid w:val="00A04B92"/>
    <w:rsid w:val="00A0681E"/>
    <w:rsid w:val="00A140FE"/>
    <w:rsid w:val="00A1752B"/>
    <w:rsid w:val="00A3495A"/>
    <w:rsid w:val="00A40007"/>
    <w:rsid w:val="00A456FD"/>
    <w:rsid w:val="00A52380"/>
    <w:rsid w:val="00A844CF"/>
    <w:rsid w:val="00A96B83"/>
    <w:rsid w:val="00A96CB0"/>
    <w:rsid w:val="00AA6CCA"/>
    <w:rsid w:val="00AB7A2E"/>
    <w:rsid w:val="00AC05B3"/>
    <w:rsid w:val="00AC73B6"/>
    <w:rsid w:val="00AD0347"/>
    <w:rsid w:val="00AD2BA2"/>
    <w:rsid w:val="00AD6E26"/>
    <w:rsid w:val="00AE49C9"/>
    <w:rsid w:val="00AF04A6"/>
    <w:rsid w:val="00AF4CD8"/>
    <w:rsid w:val="00AF7B8E"/>
    <w:rsid w:val="00B01AD7"/>
    <w:rsid w:val="00B07FC0"/>
    <w:rsid w:val="00B12301"/>
    <w:rsid w:val="00B1458F"/>
    <w:rsid w:val="00B1548A"/>
    <w:rsid w:val="00B30D2F"/>
    <w:rsid w:val="00B503C6"/>
    <w:rsid w:val="00B56129"/>
    <w:rsid w:val="00B643FA"/>
    <w:rsid w:val="00B65E87"/>
    <w:rsid w:val="00B702EE"/>
    <w:rsid w:val="00B7341A"/>
    <w:rsid w:val="00B748D0"/>
    <w:rsid w:val="00B74BAD"/>
    <w:rsid w:val="00B75F79"/>
    <w:rsid w:val="00B8135E"/>
    <w:rsid w:val="00B91D7C"/>
    <w:rsid w:val="00B91F8E"/>
    <w:rsid w:val="00BA5D58"/>
    <w:rsid w:val="00BB093D"/>
    <w:rsid w:val="00BB1B35"/>
    <w:rsid w:val="00BB201C"/>
    <w:rsid w:val="00BB3F3C"/>
    <w:rsid w:val="00BB70C2"/>
    <w:rsid w:val="00BC6818"/>
    <w:rsid w:val="00BD71E0"/>
    <w:rsid w:val="00BF1425"/>
    <w:rsid w:val="00C03196"/>
    <w:rsid w:val="00C2247E"/>
    <w:rsid w:val="00C239E8"/>
    <w:rsid w:val="00C26B48"/>
    <w:rsid w:val="00C27293"/>
    <w:rsid w:val="00C35B73"/>
    <w:rsid w:val="00C402E1"/>
    <w:rsid w:val="00C4795C"/>
    <w:rsid w:val="00C52852"/>
    <w:rsid w:val="00C53A21"/>
    <w:rsid w:val="00C560F9"/>
    <w:rsid w:val="00C64A43"/>
    <w:rsid w:val="00C7197C"/>
    <w:rsid w:val="00C76623"/>
    <w:rsid w:val="00C77C5B"/>
    <w:rsid w:val="00C86D9E"/>
    <w:rsid w:val="00C90E93"/>
    <w:rsid w:val="00C93F84"/>
    <w:rsid w:val="00C97DA8"/>
    <w:rsid w:val="00CB0828"/>
    <w:rsid w:val="00CB43A1"/>
    <w:rsid w:val="00CC30D6"/>
    <w:rsid w:val="00CD5BE4"/>
    <w:rsid w:val="00CF4613"/>
    <w:rsid w:val="00D060D1"/>
    <w:rsid w:val="00D3015E"/>
    <w:rsid w:val="00D3660F"/>
    <w:rsid w:val="00D44AE9"/>
    <w:rsid w:val="00D52ADA"/>
    <w:rsid w:val="00D5520A"/>
    <w:rsid w:val="00D55BAB"/>
    <w:rsid w:val="00D63BEE"/>
    <w:rsid w:val="00D81BD0"/>
    <w:rsid w:val="00D8253A"/>
    <w:rsid w:val="00D86BEA"/>
    <w:rsid w:val="00DB09F3"/>
    <w:rsid w:val="00DB1211"/>
    <w:rsid w:val="00DB7CC9"/>
    <w:rsid w:val="00DC10ED"/>
    <w:rsid w:val="00DC19C2"/>
    <w:rsid w:val="00DD287B"/>
    <w:rsid w:val="00DE39C1"/>
    <w:rsid w:val="00DF1FF4"/>
    <w:rsid w:val="00E02D74"/>
    <w:rsid w:val="00E032E7"/>
    <w:rsid w:val="00E04DB9"/>
    <w:rsid w:val="00E04F3F"/>
    <w:rsid w:val="00E07812"/>
    <w:rsid w:val="00E27D27"/>
    <w:rsid w:val="00E34DC9"/>
    <w:rsid w:val="00E43BC4"/>
    <w:rsid w:val="00E54C63"/>
    <w:rsid w:val="00E716F0"/>
    <w:rsid w:val="00E72266"/>
    <w:rsid w:val="00E741CC"/>
    <w:rsid w:val="00E83A77"/>
    <w:rsid w:val="00E867D5"/>
    <w:rsid w:val="00E879FF"/>
    <w:rsid w:val="00E93BC0"/>
    <w:rsid w:val="00EA2C5E"/>
    <w:rsid w:val="00EA68C0"/>
    <w:rsid w:val="00EB4694"/>
    <w:rsid w:val="00EB5902"/>
    <w:rsid w:val="00EC20C8"/>
    <w:rsid w:val="00EC5189"/>
    <w:rsid w:val="00ED3D0C"/>
    <w:rsid w:val="00EE0A9B"/>
    <w:rsid w:val="00EE15BE"/>
    <w:rsid w:val="00EE5234"/>
    <w:rsid w:val="00EF3148"/>
    <w:rsid w:val="00EF455C"/>
    <w:rsid w:val="00EF72BF"/>
    <w:rsid w:val="00F120A8"/>
    <w:rsid w:val="00F131A2"/>
    <w:rsid w:val="00F153C9"/>
    <w:rsid w:val="00F311B6"/>
    <w:rsid w:val="00F7402F"/>
    <w:rsid w:val="00FA6E2F"/>
    <w:rsid w:val="00FA7DDF"/>
    <w:rsid w:val="00FB3B20"/>
    <w:rsid w:val="00FC221F"/>
    <w:rsid w:val="00FD4A42"/>
    <w:rsid w:val="00FE1768"/>
    <w:rsid w:val="00FE283A"/>
    <w:rsid w:val="00FE41AC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21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qFormat/>
    <w:rsid w:val="00967B90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67B90"/>
    <w:pPr>
      <w:spacing w:line="240" w:lineRule="atLeast"/>
      <w:jc w:val="both"/>
    </w:pPr>
    <w:rPr>
      <w:szCs w:val="20"/>
      <w:lang w:val="hu-HU"/>
    </w:rPr>
  </w:style>
  <w:style w:type="paragraph" w:styleId="BodyText3">
    <w:name w:val="Body Text 3"/>
    <w:basedOn w:val="Normal"/>
    <w:rsid w:val="00967B90"/>
    <w:pPr>
      <w:jc w:val="both"/>
    </w:pPr>
    <w:rPr>
      <w:b/>
      <w:bCs/>
    </w:rPr>
  </w:style>
  <w:style w:type="paragraph" w:styleId="BodyText">
    <w:name w:val="Body Text"/>
    <w:basedOn w:val="Normal"/>
    <w:rsid w:val="00967B90"/>
    <w:pPr>
      <w:jc w:val="both"/>
    </w:pPr>
  </w:style>
  <w:style w:type="paragraph" w:styleId="BodyText2">
    <w:name w:val="Body Text 2"/>
    <w:basedOn w:val="Normal"/>
    <w:rsid w:val="00967B90"/>
    <w:pPr>
      <w:jc w:val="right"/>
    </w:pPr>
    <w:rPr>
      <w:b/>
      <w:bCs/>
      <w:szCs w:val="20"/>
    </w:rPr>
  </w:style>
  <w:style w:type="character" w:styleId="Hyperlink">
    <w:name w:val="Hyperlink"/>
    <w:rsid w:val="00967B90"/>
    <w:rPr>
      <w:color w:val="0000FF"/>
      <w:u w:val="single"/>
    </w:rPr>
  </w:style>
  <w:style w:type="paragraph" w:styleId="Header">
    <w:name w:val="header"/>
    <w:basedOn w:val="Normal"/>
    <w:rsid w:val="00967B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7B90"/>
  </w:style>
  <w:style w:type="paragraph" w:styleId="Footer">
    <w:name w:val="footer"/>
    <w:basedOn w:val="Normal"/>
    <w:link w:val="FooterChar"/>
    <w:uiPriority w:val="99"/>
    <w:rsid w:val="00967B90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126AC0"/>
    <w:rPr>
      <w:sz w:val="16"/>
      <w:szCs w:val="16"/>
    </w:rPr>
  </w:style>
  <w:style w:type="paragraph" w:styleId="CommentText">
    <w:name w:val="annotation text"/>
    <w:basedOn w:val="Normal"/>
    <w:semiHidden/>
    <w:rsid w:val="00126A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AC0"/>
    <w:rPr>
      <w:b/>
      <w:bCs/>
    </w:rPr>
  </w:style>
  <w:style w:type="paragraph" w:styleId="BalloonText">
    <w:name w:val="Balloon Text"/>
    <w:basedOn w:val="Normal"/>
    <w:semiHidden/>
    <w:rsid w:val="00126AC0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26AC0"/>
    <w:rPr>
      <w:vertAlign w:val="superscript"/>
    </w:rPr>
  </w:style>
  <w:style w:type="character" w:styleId="FollowedHyperlink">
    <w:name w:val="FollowedHyperlink"/>
    <w:rsid w:val="006A282C"/>
    <w:rPr>
      <w:color w:val="800080"/>
      <w:u w:val="single"/>
    </w:rPr>
  </w:style>
  <w:style w:type="table" w:styleId="TableGrid">
    <w:name w:val="Table Grid"/>
    <w:basedOn w:val="TableNormal"/>
    <w:uiPriority w:val="39"/>
    <w:rsid w:val="00AF04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456FD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21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qFormat/>
    <w:rsid w:val="00967B90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67B90"/>
    <w:pPr>
      <w:spacing w:line="240" w:lineRule="atLeast"/>
      <w:jc w:val="both"/>
    </w:pPr>
    <w:rPr>
      <w:szCs w:val="20"/>
      <w:lang w:val="hu-HU"/>
    </w:rPr>
  </w:style>
  <w:style w:type="paragraph" w:styleId="BodyText3">
    <w:name w:val="Body Text 3"/>
    <w:basedOn w:val="Normal"/>
    <w:rsid w:val="00967B90"/>
    <w:pPr>
      <w:jc w:val="both"/>
    </w:pPr>
    <w:rPr>
      <w:b/>
      <w:bCs/>
    </w:rPr>
  </w:style>
  <w:style w:type="paragraph" w:styleId="BodyText">
    <w:name w:val="Body Text"/>
    <w:basedOn w:val="Normal"/>
    <w:rsid w:val="00967B90"/>
    <w:pPr>
      <w:jc w:val="both"/>
    </w:pPr>
  </w:style>
  <w:style w:type="paragraph" w:styleId="BodyText2">
    <w:name w:val="Body Text 2"/>
    <w:basedOn w:val="Normal"/>
    <w:rsid w:val="00967B90"/>
    <w:pPr>
      <w:jc w:val="right"/>
    </w:pPr>
    <w:rPr>
      <w:b/>
      <w:bCs/>
      <w:szCs w:val="20"/>
    </w:rPr>
  </w:style>
  <w:style w:type="character" w:styleId="Hyperlink">
    <w:name w:val="Hyperlink"/>
    <w:rsid w:val="00967B90"/>
    <w:rPr>
      <w:color w:val="0000FF"/>
      <w:u w:val="single"/>
    </w:rPr>
  </w:style>
  <w:style w:type="paragraph" w:styleId="Header">
    <w:name w:val="header"/>
    <w:basedOn w:val="Normal"/>
    <w:rsid w:val="00967B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7B90"/>
  </w:style>
  <w:style w:type="paragraph" w:styleId="Footer">
    <w:name w:val="footer"/>
    <w:basedOn w:val="Normal"/>
    <w:link w:val="FooterChar"/>
    <w:uiPriority w:val="99"/>
    <w:rsid w:val="00967B90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126AC0"/>
    <w:rPr>
      <w:sz w:val="16"/>
      <w:szCs w:val="16"/>
    </w:rPr>
  </w:style>
  <w:style w:type="paragraph" w:styleId="CommentText">
    <w:name w:val="annotation text"/>
    <w:basedOn w:val="Normal"/>
    <w:semiHidden/>
    <w:rsid w:val="00126AC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26AC0"/>
    <w:rPr>
      <w:b/>
      <w:bCs/>
    </w:rPr>
  </w:style>
  <w:style w:type="paragraph" w:styleId="BalloonText">
    <w:name w:val="Balloon Text"/>
    <w:basedOn w:val="Normal"/>
    <w:semiHidden/>
    <w:rsid w:val="00126AC0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126AC0"/>
    <w:rPr>
      <w:vertAlign w:val="superscript"/>
    </w:rPr>
  </w:style>
  <w:style w:type="character" w:styleId="FollowedHyperlink">
    <w:name w:val="FollowedHyperlink"/>
    <w:rsid w:val="006A282C"/>
    <w:rPr>
      <w:color w:val="800080"/>
      <w:u w:val="single"/>
    </w:rPr>
  </w:style>
  <w:style w:type="table" w:styleId="TableGrid">
    <w:name w:val="Table Grid"/>
    <w:basedOn w:val="TableNormal"/>
    <w:uiPriority w:val="39"/>
    <w:rsid w:val="00AF04A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456F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2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79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47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6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71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219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8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8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82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F914-1E30-470E-92FC-93274D65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USKLAĐENOSTI (NACRTA) PRIJEDLOGA PROPISA S ACQUIS COMMUNAUTAIREOM</vt:lpstr>
    </vt:vector>
  </TitlesOfParts>
  <Company>MEI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USKLAĐENOSTI (NACRTA) PRIJEDLOGA PROPISA S ACQUIS COMMUNAUTAIREOM</dc:title>
  <dc:creator>BMS</dc:creator>
  <cp:lastModifiedBy>Andjelka Opacic</cp:lastModifiedBy>
  <cp:revision>14</cp:revision>
  <cp:lastPrinted>2018-06-29T11:14:00Z</cp:lastPrinted>
  <dcterms:created xsi:type="dcterms:W3CDTF">2018-08-09T08:44:00Z</dcterms:created>
  <dcterms:modified xsi:type="dcterms:W3CDTF">2018-08-13T11:04:00Z</dcterms:modified>
</cp:coreProperties>
</file>